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7010" w14:textId="77777777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B63F1">
        <w:t>TÍTULO</w:t>
      </w:r>
      <w:r w:rsidRPr="00AB63F1">
        <w:tab/>
        <w:t>: CRÉDITO RURAL</w:t>
      </w:r>
      <w:r w:rsidRPr="00AB63F1">
        <w:tab/>
      </w:r>
      <w:r w:rsidRPr="00AB63F1">
        <w:fldChar w:fldCharType="begin"/>
      </w:r>
      <w:r w:rsidRPr="00AB63F1">
        <w:instrText xml:space="preserve"> PAGE  \* MERGEFORMAT </w:instrText>
      </w:r>
      <w:r w:rsidRPr="00AB63F1">
        <w:fldChar w:fldCharType="separate"/>
      </w:r>
      <w:r w:rsidRPr="00AB63F1">
        <w:rPr>
          <w:noProof/>
        </w:rPr>
        <w:t>1</w:t>
      </w:r>
      <w:r w:rsidRPr="00AB63F1">
        <w:fldChar w:fldCharType="end"/>
      </w:r>
    </w:p>
    <w:p w14:paraId="2691C731" w14:textId="71825EEF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B63F1">
        <w:t>CAPÍTULO</w:t>
      </w:r>
      <w:r w:rsidRPr="00AB63F1">
        <w:tab/>
        <w:t xml:space="preserve">: </w:t>
      </w:r>
      <w:r w:rsidR="00860665" w:rsidRPr="00860665">
        <w:t>Finalidades e Instrumentos Especiais de Política Agrícola</w:t>
      </w:r>
      <w:r w:rsidRPr="00AB63F1">
        <w:t xml:space="preserve"> - 4</w:t>
      </w:r>
    </w:p>
    <w:p w14:paraId="4193712D" w14:textId="1C633FCA" w:rsidR="00A0733D" w:rsidRPr="00AB63F1" w:rsidRDefault="00A0733D" w:rsidP="00A0733D">
      <w:pPr>
        <w:pStyle w:val="TextosemFormatao"/>
        <w:tabs>
          <w:tab w:val="left" w:pos="992"/>
          <w:tab w:val="right" w:pos="9923"/>
        </w:tabs>
        <w:jc w:val="left"/>
        <w:rPr>
          <w:rFonts w:ascii="Times New Roman" w:hAnsi="Times New Roman"/>
        </w:rPr>
      </w:pPr>
      <w:r w:rsidRPr="00AB63F1">
        <w:rPr>
          <w:rFonts w:ascii="Times New Roman" w:hAnsi="Times New Roman"/>
        </w:rPr>
        <w:t>SEÇÃO</w:t>
      </w:r>
      <w:r w:rsidRPr="00AB63F1">
        <w:rPr>
          <w:rFonts w:ascii="Times New Roman" w:hAnsi="Times New Roman"/>
        </w:rPr>
        <w:tab/>
        <w:t xml:space="preserve">: </w:t>
      </w:r>
      <w:r w:rsidR="006133AF" w:rsidRPr="006133AF">
        <w:rPr>
          <w:rFonts w:ascii="Times New Roman" w:hAnsi="Times New Roman"/>
        </w:rPr>
        <w:t>Contratos de Opção de Compra e Venda Como Instrumento de Política Agrícola</w:t>
      </w:r>
      <w:r w:rsidRPr="00AB63F1">
        <w:rPr>
          <w:rFonts w:ascii="Times New Roman" w:hAnsi="Times New Roman"/>
        </w:rPr>
        <w:t xml:space="preserve"> </w:t>
      </w:r>
      <w:r w:rsidR="00860665">
        <w:rPr>
          <w:rFonts w:ascii="Times New Roman" w:hAnsi="Times New Roman"/>
        </w:rPr>
        <w:t>-</w:t>
      </w:r>
      <w:r w:rsidRPr="00AB63F1">
        <w:rPr>
          <w:rFonts w:ascii="Times New Roman" w:hAnsi="Times New Roman"/>
        </w:rPr>
        <w:t xml:space="preserve"> </w:t>
      </w:r>
      <w:r w:rsidR="006133AF">
        <w:rPr>
          <w:rFonts w:ascii="Times New Roman" w:hAnsi="Times New Roman"/>
        </w:rPr>
        <w:t>9</w:t>
      </w:r>
      <w:r w:rsidR="00860665">
        <w:rPr>
          <w:rFonts w:ascii="Times New Roman" w:hAnsi="Times New Roman"/>
        </w:rPr>
        <w:tab/>
        <w:t>(*)</w:t>
      </w:r>
    </w:p>
    <w:p w14:paraId="5069A509" w14:textId="77777777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  <w:jc w:val="both"/>
      </w:pPr>
      <w:r w:rsidRPr="00AB63F1">
        <w:t>_____________________________________________________________________________________________</w:t>
      </w:r>
    </w:p>
    <w:p w14:paraId="7FED345D" w14:textId="77777777" w:rsidR="00A0733D" w:rsidRPr="006133AF" w:rsidRDefault="00A0733D" w:rsidP="00A0733D">
      <w:pPr>
        <w:pStyle w:val="TextosemFormatao"/>
        <w:tabs>
          <w:tab w:val="left" w:pos="1418"/>
          <w:tab w:val="right" w:pos="9923"/>
        </w:tabs>
        <w:rPr>
          <w:rFonts w:ascii="Times New Roman" w:eastAsia="MS Mincho" w:hAnsi="Times New Roman"/>
        </w:rPr>
      </w:pPr>
    </w:p>
    <w:p w14:paraId="6D605655" w14:textId="77777777" w:rsidR="006133AF" w:rsidRPr="006133AF" w:rsidRDefault="00C14E02" w:rsidP="006133AF">
      <w:pPr>
        <w:tabs>
          <w:tab w:val="right" w:pos="10064"/>
        </w:tabs>
        <w:ind w:left="284" w:hanging="284"/>
        <w:jc w:val="both"/>
      </w:pPr>
      <w:r w:rsidRPr="006133AF">
        <w:rPr>
          <w:rFonts w:eastAsia="MS Mincho"/>
        </w:rPr>
        <w:t xml:space="preserve">1 - </w:t>
      </w:r>
      <w:r w:rsidR="006133AF" w:rsidRPr="006133AF">
        <w:t>Os Contratos de Opção de Compra de produtos agrícolas, como instrumento alternativo ou complementar à oferta de estoques públicos, ficam sujeitos às seguintes características e condições:</w:t>
      </w:r>
    </w:p>
    <w:p w14:paraId="23DCDEE9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a) modalidade: oferta de Contrato de Opção de Compra;</w:t>
      </w:r>
    </w:p>
    <w:p w14:paraId="6B605700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b) adquirentes: quaisquer interessados em dispor do produto ofertado, tais como, criadores, agroindústrias, cooperativas agropecuárias, exportadores e comerciantes;</w:t>
      </w:r>
    </w:p>
    <w:p w14:paraId="69F68A57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c) produtos amparados: estoques adquiridos no âmbito da Política de Garantia de Preços Mínimos (PGPM) até a data do lançamento dos contratos, cujos quantitativos devem ser mantidos até o vencimento das opções;</w:t>
      </w:r>
    </w:p>
    <w:p w14:paraId="322628D0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d) período de contratação e de vencimento das opções: de acordo com o calendário agrícola de cada produto, definido em aviso específico de venda de contrato de opção de compra divulgado pelo governo;</w:t>
      </w:r>
    </w:p>
    <w:p w14:paraId="7CF87B0A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e) preço de exercício: calculado com base no comportamento dos preços de mercado, levando-se em conta os custos financeiros e de carregamento dos estoques, apurados entre o momento do lançamento do contrato e seu exercício, além da análise de perspectivas do mercado para a data do exercício da opção;</w:t>
      </w:r>
    </w:p>
    <w:p w14:paraId="639539C6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f) prêmio: valor que o adquirente deve pagar pela compra do contrato, a partir de um valor mínimo para aceitação dos lances em leilão;</w:t>
      </w:r>
    </w:p>
    <w:p w14:paraId="6ED6469B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g) exercício da opção: em um único momento, no vencimento do contrato, ou em parcelas antecipadas, conforme previamente definido em aviso específico de venda de contrato de opção de compra divulgado pelo governo;</w:t>
      </w:r>
    </w:p>
    <w:p w14:paraId="2D5F94CE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h) repasse do contrato a terceiros: é permitida a transferência de titularidade do contrato;</w:t>
      </w:r>
    </w:p>
    <w:p w14:paraId="46DC7D46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i) registro das operações: os contratos devem ser registrados em sistema de registro e de liquidação financeira de ativos autorizado pelo Banco Central do Brasil ou em entidade que já opere o registro de operações de mercados organizados de derivativos, desde que especificamente credenciada para essa finalidade pela referida Autarquia ou pela Comissão de Valores Mobiliários (CVM);</w:t>
      </w:r>
    </w:p>
    <w:p w14:paraId="13BEC97D" w14:textId="77777777" w:rsidR="006133AF" w:rsidRPr="006133AF" w:rsidRDefault="006133AF" w:rsidP="006133AF">
      <w:pPr>
        <w:tabs>
          <w:tab w:val="right" w:pos="10064"/>
        </w:tabs>
        <w:spacing w:after="120"/>
        <w:ind w:left="568" w:hanging="284"/>
        <w:jc w:val="both"/>
      </w:pPr>
      <w:r w:rsidRPr="006133AF">
        <w:t>j) forma de lançamento das opções de compra: por leilões públicos promovidos pela Companhia Nacional de Abastecimento (Conab), por meio de aviso de oferta específico, que deve ser acertado entre o Ministério da Agricultura, Pecuária e Abastecimento e a Secretaria do Tesouro Nacional.</w:t>
      </w:r>
    </w:p>
    <w:p w14:paraId="194478D5" w14:textId="77777777" w:rsidR="006133AF" w:rsidRPr="006133AF" w:rsidRDefault="006133AF" w:rsidP="006133AF">
      <w:pPr>
        <w:tabs>
          <w:tab w:val="right" w:pos="10064"/>
        </w:tabs>
        <w:ind w:left="284" w:hanging="284"/>
        <w:jc w:val="both"/>
      </w:pPr>
      <w:r w:rsidRPr="006133AF">
        <w:t>2 - Os Contratos de Opção de Venda, lançados pela Conab como instrumento de política agrícola, ficam sujeitos às seguintes características e condições:</w:t>
      </w:r>
    </w:p>
    <w:p w14:paraId="72DC5499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a) adquirentes: produtores rurais e suas cooperativas de produção, admitida a posterior transferência de titularidade;</w:t>
      </w:r>
    </w:p>
    <w:p w14:paraId="09A66DE4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b) prêmio: valor que o adquirente deve pagar pela compra do contrato, podendo ser fixado valor mínimo para aceitação de lances;</w:t>
      </w:r>
    </w:p>
    <w:p w14:paraId="50D2847E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c) épocas de contratação e de vencimento: definidas por ocasião do lançamento dos contratos, em consonância com o calendário agrícola de cada produto, observado o disposto no item 3;</w:t>
      </w:r>
    </w:p>
    <w:p w14:paraId="3731A63F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d) lançamento: por meio de leilões públicos, sistemática que deve ser utilizada também nas eventuais recompras e repasses de contratos;</w:t>
      </w:r>
    </w:p>
    <w:p w14:paraId="06C39BE0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e) registro das operações: em sistema de registro e de liquidação financeira de títulos administrado por entidade autorizada pelo Banco Central do Brasil ou em entidade que já opere o registro de operações de mercados organizados de derivativos, desde que especificamente credenciada para essa finalidade;</w:t>
      </w:r>
    </w:p>
    <w:p w14:paraId="193FA3D0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f) validade das operações: as transações com os contratos só terão validade após registradas em consonância com o disposto na alínea “e” deste item;</w:t>
      </w:r>
    </w:p>
    <w:p w14:paraId="397C2852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g) o adquirente do contrato de opção pode exercer o direito de vender o produto objeto da operação:</w:t>
      </w:r>
    </w:p>
    <w:p w14:paraId="6B23AFBF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 - no vencimento do contrato;</w:t>
      </w:r>
    </w:p>
    <w:p w14:paraId="531A2A0C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 - antecipadamente, considerando-se o preço com o custo de carregamento até a data do efetivo exercício, sem direito à margem adicional de que trata o inciso IV da alínea "k" deste item;</w:t>
      </w:r>
    </w:p>
    <w:p w14:paraId="2DCBEB59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III - o vencimento do contrato deve ocorrer sempre após o período de colheita na região onde foi lançado o contrato de opção, inclusive quando houver a possibilidade de antecipação do exercício;</w:t>
      </w:r>
    </w:p>
    <w:p w14:paraId="031078C6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h) ressarcimento de despesas: na hipótese de o adquirente exercer a opção, devem ser ressarcidas, quando da aquisição do produto, as mesmas despesas que vêm sendo indenizadas por ocasião da formação de estoques estratégicos e das Aquisições do Governo Federal (AGF);</w:t>
      </w:r>
    </w:p>
    <w:p w14:paraId="29F5E354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i) recebimento do produto: conforme definido no contrato;</w:t>
      </w:r>
    </w:p>
    <w:p w14:paraId="591EC51D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j) alternativas ao recebimento do produto: pode ser incluída cláusula contratual permitindo que a Conab opte por não receber o produto, caso o adquirente manifeste interesse em exercer a opção, utilizando-se para tanto as seguintes alternativas:</w:t>
      </w:r>
    </w:p>
    <w:p w14:paraId="0C7CD1D7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 - recompra do contrato;</w:t>
      </w:r>
    </w:p>
    <w:p w14:paraId="2B8AD297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 - repasse do contrato a terceiros, desde que asseguradas ao adquirente as garantias necessárias de que o novo titular honrará as obrigações originalmente assumidas pela Conab, inclusive as previstas na alínea "h" deste item;</w:t>
      </w:r>
    </w:p>
    <w:p w14:paraId="07BDA827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III - pagamento da diferença entre o preço de exercício e o preço de mercado na época do vencimento do contrato;</w:t>
      </w:r>
    </w:p>
    <w:p w14:paraId="11E8839D" w14:textId="77777777" w:rsidR="006133AF" w:rsidRPr="006133AF" w:rsidRDefault="006133AF" w:rsidP="006133AF">
      <w:pPr>
        <w:tabs>
          <w:tab w:val="right" w:pos="10064"/>
        </w:tabs>
        <w:ind w:left="568" w:hanging="284"/>
        <w:jc w:val="both"/>
      </w:pPr>
      <w:r w:rsidRPr="006133AF">
        <w:t>k) a definição do preço de exercício utilizado no lançamento de Contratos de Opção Pública e Privada de Venda deverá observar:</w:t>
      </w:r>
    </w:p>
    <w:p w14:paraId="200DCE4B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lastRenderedPageBreak/>
        <w:t>I - o preço mínimo do produto vigente para a safra a que se refere a produção;</w:t>
      </w:r>
    </w:p>
    <w:p w14:paraId="4CAFC5D2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 - as estimativas de custos para o carregamento dos estoques entre o período de colheita e a data de exercício, inclusive os custos financeiros;</w:t>
      </w:r>
    </w:p>
    <w:p w14:paraId="0E44FA6F" w14:textId="77777777" w:rsidR="006133AF" w:rsidRPr="006133AF" w:rsidRDefault="006133AF" w:rsidP="006133AF">
      <w:pPr>
        <w:tabs>
          <w:tab w:val="right" w:pos="10064"/>
        </w:tabs>
        <w:ind w:left="851" w:hanging="284"/>
        <w:jc w:val="both"/>
      </w:pPr>
      <w:r w:rsidRPr="006133AF">
        <w:t>III - os custos de frete, quando especificado que a entrega do produto seja em localidade distinta da localidade de origem da oferta do contrato;</w:t>
      </w:r>
    </w:p>
    <w:p w14:paraId="07483272" w14:textId="77777777" w:rsidR="006133AF" w:rsidRPr="006133AF" w:rsidRDefault="006133AF" w:rsidP="006133AF">
      <w:pPr>
        <w:tabs>
          <w:tab w:val="right" w:pos="10064"/>
        </w:tabs>
        <w:spacing w:after="120"/>
        <w:ind w:left="851" w:hanging="284"/>
        <w:jc w:val="both"/>
      </w:pPr>
      <w:r w:rsidRPr="006133AF">
        <w:t>IV - margem adicional de até 10% (dez por cento) do preço mínimo, estipulada com base nas expectativas de mercado e quando houver necessidade de estímulo à comercialização.</w:t>
      </w:r>
    </w:p>
    <w:p w14:paraId="16E2729E" w14:textId="77C3E2C7" w:rsidR="00B00195" w:rsidRPr="006133AF" w:rsidRDefault="006133AF" w:rsidP="006133AF">
      <w:pPr>
        <w:tabs>
          <w:tab w:val="right" w:pos="10064"/>
        </w:tabs>
        <w:ind w:left="284" w:hanging="284"/>
        <w:jc w:val="both"/>
        <w:rPr>
          <w:rFonts w:eastAsia="MS Mincho"/>
        </w:rPr>
      </w:pPr>
      <w:r w:rsidRPr="006133AF">
        <w:t>3 - Com relação ao disposto no item 2, caberá aos órgãos da administração pública federal com competência sobre a matéria definir os preços de exercício de cada produto para lançamento das opções</w:t>
      </w:r>
      <w:r w:rsidR="00860665" w:rsidRPr="006133AF">
        <w:rPr>
          <w:rFonts w:eastAsia="MS Mincho"/>
        </w:rPr>
        <w:t>.</w:t>
      </w:r>
    </w:p>
    <w:p w14:paraId="0853CA47" w14:textId="77777777" w:rsidR="00992C00" w:rsidRPr="006133AF" w:rsidRDefault="00992C00" w:rsidP="006C163D">
      <w:pPr>
        <w:tabs>
          <w:tab w:val="right" w:pos="9923"/>
        </w:tabs>
        <w:rPr>
          <w:rFonts w:eastAsia="MS Mincho"/>
        </w:rPr>
      </w:pPr>
    </w:p>
    <w:sectPr w:rsidR="00992C00" w:rsidRPr="006133AF" w:rsidSect="00A0733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0040" w14:textId="77777777" w:rsidR="00F54DED" w:rsidRDefault="00F54DED">
      <w:r>
        <w:separator/>
      </w:r>
    </w:p>
  </w:endnote>
  <w:endnote w:type="continuationSeparator" w:id="0">
    <w:p w14:paraId="17CB3B31" w14:textId="77777777" w:rsidR="00F54DED" w:rsidRDefault="00F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C037" w14:textId="77777777" w:rsidR="00D74F9F" w:rsidRDefault="00D74F9F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0C14BB93" w14:textId="27DAF394" w:rsidR="00D74F9F" w:rsidRDefault="006133AF">
    <w:pPr>
      <w:pStyle w:val="Rodap"/>
    </w:pPr>
    <w:r w:rsidRPr="006133AF">
      <w:t>Resolução CMN nº 4.900,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D51C" w14:textId="77777777" w:rsidR="00A0733D" w:rsidRDefault="00A0733D" w:rsidP="00A0733D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F4C5290" w14:textId="26C6981E" w:rsidR="00A0733D" w:rsidRDefault="00860665">
    <w:pPr>
      <w:pStyle w:val="Rodap"/>
    </w:pPr>
    <w:r w:rsidRPr="00860665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2F21" w14:textId="77777777" w:rsidR="00F54DED" w:rsidRDefault="00F54DED">
      <w:r>
        <w:separator/>
      </w:r>
    </w:p>
  </w:footnote>
  <w:footnote w:type="continuationSeparator" w:id="0">
    <w:p w14:paraId="5BED8A65" w14:textId="77777777" w:rsidR="00F54DED" w:rsidRDefault="00F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46F3" w14:textId="77777777" w:rsidR="00D74F9F" w:rsidRDefault="00D74F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907A12F" w14:textId="77777777" w:rsidR="00D74F9F" w:rsidRDefault="00D74F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1123" w14:textId="77777777" w:rsidR="00D74F9F" w:rsidRDefault="00D74F9F" w:rsidP="00BE126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0733D">
      <w:rPr>
        <w:noProof/>
      </w:rPr>
      <w:t>1</w:t>
    </w:r>
    <w:r>
      <w:fldChar w:fldCharType="end"/>
    </w:r>
  </w:p>
  <w:p w14:paraId="13D6585D" w14:textId="262DC645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6133AF" w:rsidRPr="006133AF">
      <w:t>Finalidades e Instrumentos Especiais de Política Agrícola</w:t>
    </w:r>
    <w:r>
      <w:t xml:space="preserve"> - 4</w:t>
    </w:r>
  </w:p>
  <w:p w14:paraId="2108A9F3" w14:textId="1275EEE4" w:rsidR="00D74F9F" w:rsidRDefault="009700B7" w:rsidP="009700B7">
    <w:pPr>
      <w:pStyle w:val="TextosemFormatao"/>
      <w:tabs>
        <w:tab w:val="left" w:pos="992"/>
        <w:tab w:val="right" w:pos="9923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SEÇÃO</w:t>
    </w:r>
    <w:r>
      <w:rPr>
        <w:rFonts w:ascii="Times New Roman" w:hAnsi="Times New Roman"/>
      </w:rPr>
      <w:tab/>
    </w:r>
    <w:r w:rsidR="00D74F9F">
      <w:rPr>
        <w:rFonts w:ascii="Times New Roman" w:hAnsi="Times New Roman"/>
      </w:rPr>
      <w:t xml:space="preserve">: </w:t>
    </w:r>
    <w:r w:rsidR="006133AF" w:rsidRPr="006133AF">
      <w:rPr>
        <w:rFonts w:ascii="Times New Roman" w:hAnsi="Times New Roman"/>
      </w:rPr>
      <w:t xml:space="preserve">Contratos de Opção de Compra e Venda Como Instrumento de Política Agrícola </w:t>
    </w:r>
    <w:r w:rsidR="00992C00">
      <w:rPr>
        <w:rFonts w:ascii="Times New Roman" w:hAnsi="Times New Roman"/>
      </w:rPr>
      <w:t>-</w:t>
    </w:r>
    <w:r w:rsidR="00D74F9F">
      <w:rPr>
        <w:rFonts w:ascii="Times New Roman" w:hAnsi="Times New Roman"/>
      </w:rPr>
      <w:t xml:space="preserve"> 6</w:t>
    </w:r>
  </w:p>
  <w:p w14:paraId="646C91A9" w14:textId="77777777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  <w:jc w:val="both"/>
    </w:pPr>
    <w:r>
      <w:t>_____________________________________________________________________________________________</w:t>
    </w:r>
  </w:p>
  <w:p w14:paraId="341CFE0D" w14:textId="77777777" w:rsidR="00D74F9F" w:rsidRDefault="00D74F9F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48"/>
    <w:multiLevelType w:val="multilevel"/>
    <w:tmpl w:val="7C622D44"/>
    <w:lvl w:ilvl="0">
      <w:start w:val="1"/>
      <w:numFmt w:val="none"/>
      <w:pStyle w:val="CorpoAlterao"/>
      <w:suff w:val="nothing"/>
      <w:lvlText w:val="&quot;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none"/>
      <w:lvlRestart w:val="0"/>
      <w:lvlText w:val="%1"/>
      <w:lvlJc w:val="left"/>
      <w:pPr>
        <w:tabs>
          <w:tab w:val="num" w:pos="1778"/>
        </w:tabs>
        <w:ind w:left="737" w:firstLine="681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963A22"/>
    <w:multiLevelType w:val="multilevel"/>
    <w:tmpl w:val="5FCEF072"/>
    <w:lvl w:ilvl="0">
      <w:start w:val="1"/>
      <w:numFmt w:val="ordinal"/>
      <w:pStyle w:val="Corpo"/>
      <w:suff w:val="nothing"/>
      <w:lvlText w:val="Art. %1"/>
      <w:lvlJc w:val="left"/>
      <w:pPr>
        <w:ind w:left="0" w:firstLine="1418"/>
      </w:pPr>
      <w:rPr>
        <w:rFonts w:hint="default"/>
      </w:rPr>
    </w:lvl>
    <w:lvl w:ilvl="1">
      <w:start w:val="1"/>
      <w:numFmt w:val="ordinal"/>
      <w:suff w:val="nothing"/>
      <w:lvlText w:val="§ %2"/>
      <w:lvlJc w:val="left"/>
      <w:pPr>
        <w:ind w:left="0" w:firstLine="1418"/>
      </w:pPr>
      <w:rPr>
        <w:rFonts w:hint="default"/>
      </w:rPr>
    </w:lvl>
    <w:lvl w:ilvl="2">
      <w:start w:val="1"/>
      <w:numFmt w:val="upperRoman"/>
      <w:suff w:val="nothing"/>
      <w:lvlText w:val="%3 - "/>
      <w:lvlJc w:val="left"/>
      <w:pPr>
        <w:ind w:left="0" w:firstLine="1418"/>
      </w:pPr>
      <w:rPr>
        <w:rFonts w:hint="default"/>
      </w:rPr>
    </w:lvl>
    <w:lvl w:ilvl="3">
      <w:start w:val="1"/>
      <w:numFmt w:val="lowerLetter"/>
      <w:suff w:val="nothing"/>
      <w:lvlText w:val="%4) "/>
      <w:lvlJc w:val="left"/>
      <w:pPr>
        <w:ind w:left="0" w:firstLine="1418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0" w:firstLine="1418"/>
      </w:pPr>
      <w:rPr>
        <w:rFonts w:hint="default"/>
      </w:rPr>
    </w:lvl>
    <w:lvl w:ilvl="5">
      <w:start w:val="1"/>
      <w:numFmt w:val="none"/>
      <w:suff w:val="nothing"/>
      <w:lvlText w:val="Parágrafo único. "/>
      <w:lvlJc w:val="left"/>
      <w:pPr>
        <w:ind w:left="0" w:firstLine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141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0"/>
      <w:numFmt w:val="decimal"/>
      <w:suff w:val="nothing"/>
      <w:lvlText w:val="Art.  %9."/>
      <w:lvlJc w:val="left"/>
      <w:pPr>
        <w:ind w:left="0" w:firstLine="1418"/>
      </w:pPr>
      <w:rPr>
        <w:rFonts w:hint="default"/>
      </w:rPr>
    </w:lvl>
  </w:abstractNum>
  <w:abstractNum w:abstractNumId="2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6C95E35"/>
    <w:multiLevelType w:val="multilevel"/>
    <w:tmpl w:val="792E42A8"/>
    <w:lvl w:ilvl="0">
      <w:start w:val="1"/>
      <w:numFmt w:val="none"/>
      <w:pStyle w:val="LocalDataPE"/>
      <w:lvlText w:val="Recife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63543"/>
    <w:multiLevelType w:val="multilevel"/>
    <w:tmpl w:val="14741E20"/>
    <w:lvl w:ilvl="0">
      <w:start w:val="1"/>
      <w:numFmt w:val="none"/>
      <w:pStyle w:val="LocalDataRJ"/>
      <w:lvlText w:val="Rio de Janeiro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E34AC"/>
    <w:multiLevelType w:val="multilevel"/>
    <w:tmpl w:val="35DA3428"/>
    <w:lvl w:ilvl="0">
      <w:start w:val="1"/>
      <w:numFmt w:val="none"/>
      <w:pStyle w:val="OrdemResolveu"/>
      <w:lvlText w:val="R E S O L V E U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378"/>
    <w:multiLevelType w:val="multilevel"/>
    <w:tmpl w:val="7A188470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FF2759"/>
    <w:multiLevelType w:val="multilevel"/>
    <w:tmpl w:val="FBDCECDC"/>
    <w:lvl w:ilvl="0">
      <w:start w:val="1"/>
      <w:numFmt w:val="none"/>
      <w:pStyle w:val="OrdemResolve"/>
      <w:lvlText w:val="R E S O L V E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C1A7C"/>
    <w:multiLevelType w:val="multilevel"/>
    <w:tmpl w:val="B76C393E"/>
    <w:lvl w:ilvl="0">
      <w:start w:val="1"/>
      <w:numFmt w:val="none"/>
      <w:pStyle w:val="CorpoAlterao2"/>
      <w:suff w:val="nothing"/>
      <w:lvlText w:val="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7D72370"/>
    <w:multiLevelType w:val="singleLevel"/>
    <w:tmpl w:val="74C06612"/>
    <w:lvl w:ilvl="0">
      <w:start w:val="1"/>
      <w:numFmt w:val="none"/>
      <w:pStyle w:val="Vocativo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90613A0"/>
    <w:multiLevelType w:val="multilevel"/>
    <w:tmpl w:val="008086C8"/>
    <w:lvl w:ilvl="0">
      <w:start w:val="1"/>
      <w:numFmt w:val="none"/>
      <w:pStyle w:val="LocalDataDF"/>
      <w:lvlText w:val="Brasília, 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F1387"/>
    <w:multiLevelType w:val="singleLevel"/>
    <w:tmpl w:val="27AA22E0"/>
    <w:lvl w:ilvl="0">
      <w:start w:val="1"/>
      <w:numFmt w:val="none"/>
      <w:pStyle w:val="EpgrafeComunicao"/>
      <w:lvlText w:val="Comunicação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</w:abstractNum>
  <w:abstractNum w:abstractNumId="12" w15:restartNumberingAfterBreak="0">
    <w:nsid w:val="444E24AC"/>
    <w:multiLevelType w:val="multilevel"/>
    <w:tmpl w:val="A6CED59E"/>
    <w:lvl w:ilvl="0">
      <w:start w:val="1"/>
      <w:numFmt w:val="none"/>
      <w:pStyle w:val="LocalDataCE"/>
      <w:lvlText w:val="%1Fortaleza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903EE"/>
    <w:multiLevelType w:val="multilevel"/>
    <w:tmpl w:val="5B149976"/>
    <w:lvl w:ilvl="0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11781"/>
    <w:multiLevelType w:val="multilevel"/>
    <w:tmpl w:val="2340A4C4"/>
    <w:lvl w:ilvl="0">
      <w:start w:val="1"/>
      <w:numFmt w:val="none"/>
      <w:pStyle w:val="LocalDataRS"/>
      <w:lvlText w:val="Porto Alegre,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838AE"/>
    <w:multiLevelType w:val="singleLevel"/>
    <w:tmpl w:val="78A26568"/>
    <w:lvl w:ilvl="0">
      <w:start w:val="1"/>
      <w:numFmt w:val="none"/>
      <w:pStyle w:val="LocalDataBA"/>
      <w:lvlText w:val="Salvador, "/>
      <w:lvlJc w:val="left"/>
      <w:pPr>
        <w:tabs>
          <w:tab w:val="num" w:pos="1080"/>
        </w:tabs>
        <w:ind w:left="-4536" w:firstLine="453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5E7C1451"/>
    <w:multiLevelType w:val="multilevel"/>
    <w:tmpl w:val="CC3463F4"/>
    <w:lvl w:ilvl="0">
      <w:numFmt w:val="none"/>
      <w:pStyle w:val="OrdemDecidiu"/>
      <w:suff w:val="space"/>
      <w:lvlText w:val="%1D E C I D I U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3969" w:hanging="397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328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600A3D1F"/>
    <w:multiLevelType w:val="multilevel"/>
    <w:tmpl w:val="F9864FFA"/>
    <w:lvl w:ilvl="0">
      <w:start w:val="1"/>
      <w:numFmt w:val="none"/>
      <w:pStyle w:val="Seo"/>
      <w:suff w:val="space"/>
      <w:lvlText w:val="SEÇÃO 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13F35"/>
    <w:multiLevelType w:val="multilevel"/>
    <w:tmpl w:val="D7186A36"/>
    <w:lvl w:ilvl="0">
      <w:start w:val="1"/>
      <w:numFmt w:val="none"/>
      <w:pStyle w:val="Ttulo29"/>
      <w:suff w:val="space"/>
      <w:lvlText w:val="TÍTULO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4518"/>
    <w:multiLevelType w:val="multilevel"/>
    <w:tmpl w:val="618812E4"/>
    <w:lvl w:ilvl="0">
      <w:start w:val="1"/>
      <w:numFmt w:val="none"/>
      <w:pStyle w:val="Captulo"/>
      <w:suff w:val="space"/>
      <w:lvlText w:val="CAPÍTULO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24C29"/>
    <w:multiLevelType w:val="multilevel"/>
    <w:tmpl w:val="530E9FFA"/>
    <w:lvl w:ilvl="0">
      <w:start w:val="1"/>
      <w:numFmt w:val="ordinal"/>
      <w:lvlText w:val="Art. %1"/>
      <w:lvlJc w:val="left"/>
      <w:pPr>
        <w:tabs>
          <w:tab w:val="num" w:pos="2858"/>
        </w:tabs>
        <w:ind w:left="0" w:firstLine="1418"/>
      </w:pPr>
    </w:lvl>
    <w:lvl w:ilvl="1">
      <w:start w:val="1"/>
      <w:numFmt w:val="none"/>
      <w:pStyle w:val="Ttulo4"/>
      <w:isLgl/>
      <w:suff w:val="nothing"/>
      <w:lvlText w:val="%1"/>
      <w:lvlJc w:val="center"/>
      <w:pPr>
        <w:ind w:left="0" w:firstLine="1701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A723E4"/>
    <w:multiLevelType w:val="multilevel"/>
    <w:tmpl w:val="76062C2C"/>
    <w:lvl w:ilvl="0">
      <w:start w:val="1"/>
      <w:numFmt w:val="none"/>
      <w:pStyle w:val="LocalDataPR"/>
      <w:lvlText w:val="Curitiba,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D76BB"/>
    <w:multiLevelType w:val="singleLevel"/>
    <w:tmpl w:val="BEA41144"/>
    <w:lvl w:ilvl="0">
      <w:start w:val="1"/>
      <w:numFmt w:val="none"/>
      <w:pStyle w:val="LocalDataMG"/>
      <w:lvlText w:val="Belo Horizonte,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F424DB0"/>
    <w:multiLevelType w:val="multilevel"/>
    <w:tmpl w:val="DAE8B522"/>
    <w:lvl w:ilvl="0">
      <w:start w:val="1"/>
      <w:numFmt w:val="none"/>
      <w:pStyle w:val="LocalDataPA"/>
      <w:lvlText w:val="Belém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21"/>
  </w:num>
  <w:num w:numId="17">
    <w:abstractNumId w:val="4"/>
  </w:num>
  <w:num w:numId="18">
    <w:abstractNumId w:val="14"/>
  </w:num>
  <w:num w:numId="19">
    <w:abstractNumId w:val="2"/>
  </w:num>
  <w:num w:numId="20">
    <w:abstractNumId w:val="16"/>
  </w:num>
  <w:num w:numId="21">
    <w:abstractNumId w:val="7"/>
  </w:num>
  <w:num w:numId="22">
    <w:abstractNumId w:val="5"/>
  </w:num>
  <w:num w:numId="23">
    <w:abstractNumId w:val="9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9"/>
  <w:hyphenationZone w:val="8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16C2"/>
    <w:rsid w:val="00035069"/>
    <w:rsid w:val="00046590"/>
    <w:rsid w:val="00071940"/>
    <w:rsid w:val="000D0FAC"/>
    <w:rsid w:val="000D2E32"/>
    <w:rsid w:val="001024AF"/>
    <w:rsid w:val="00151CFD"/>
    <w:rsid w:val="001B585C"/>
    <w:rsid w:val="001D3F2E"/>
    <w:rsid w:val="00243785"/>
    <w:rsid w:val="00253987"/>
    <w:rsid w:val="00261BF7"/>
    <w:rsid w:val="002922E9"/>
    <w:rsid w:val="00297BD0"/>
    <w:rsid w:val="002B5D27"/>
    <w:rsid w:val="002E0E02"/>
    <w:rsid w:val="002F5D01"/>
    <w:rsid w:val="003133EE"/>
    <w:rsid w:val="00325079"/>
    <w:rsid w:val="003371A4"/>
    <w:rsid w:val="00350135"/>
    <w:rsid w:val="00383543"/>
    <w:rsid w:val="003B5797"/>
    <w:rsid w:val="003B5987"/>
    <w:rsid w:val="00424098"/>
    <w:rsid w:val="004A16C2"/>
    <w:rsid w:val="004C4100"/>
    <w:rsid w:val="00505F6D"/>
    <w:rsid w:val="00507DE1"/>
    <w:rsid w:val="00525780"/>
    <w:rsid w:val="0055178D"/>
    <w:rsid w:val="00557803"/>
    <w:rsid w:val="0056059A"/>
    <w:rsid w:val="00580CD6"/>
    <w:rsid w:val="005E060F"/>
    <w:rsid w:val="005F6AFD"/>
    <w:rsid w:val="0060591E"/>
    <w:rsid w:val="006133AF"/>
    <w:rsid w:val="006C163D"/>
    <w:rsid w:val="00700F5A"/>
    <w:rsid w:val="00745A1E"/>
    <w:rsid w:val="00751D7E"/>
    <w:rsid w:val="0076510D"/>
    <w:rsid w:val="00805A85"/>
    <w:rsid w:val="008128E1"/>
    <w:rsid w:val="00860665"/>
    <w:rsid w:val="00922C18"/>
    <w:rsid w:val="009700B7"/>
    <w:rsid w:val="0098049D"/>
    <w:rsid w:val="00992C00"/>
    <w:rsid w:val="009F05ED"/>
    <w:rsid w:val="009F4929"/>
    <w:rsid w:val="00A0733D"/>
    <w:rsid w:val="00A250B3"/>
    <w:rsid w:val="00A52465"/>
    <w:rsid w:val="00A73CB7"/>
    <w:rsid w:val="00AB63F1"/>
    <w:rsid w:val="00B00195"/>
    <w:rsid w:val="00B20CE3"/>
    <w:rsid w:val="00B56BFE"/>
    <w:rsid w:val="00B83590"/>
    <w:rsid w:val="00B868DE"/>
    <w:rsid w:val="00BE1269"/>
    <w:rsid w:val="00BF38B9"/>
    <w:rsid w:val="00C1496A"/>
    <w:rsid w:val="00C14E02"/>
    <w:rsid w:val="00CA41AA"/>
    <w:rsid w:val="00CA6D22"/>
    <w:rsid w:val="00D4413C"/>
    <w:rsid w:val="00D74F9F"/>
    <w:rsid w:val="00D75727"/>
    <w:rsid w:val="00E03EDD"/>
    <w:rsid w:val="00E17D9F"/>
    <w:rsid w:val="00EB24E3"/>
    <w:rsid w:val="00F3684F"/>
    <w:rsid w:val="00F54DED"/>
    <w:rsid w:val="00FD02C2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3AC89E4"/>
  <w15:chartTrackingRefBased/>
  <w15:docId w15:val="{4422AB82-0B10-49DC-A6C1-6A8ED56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before="240" w:after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tabs>
        <w:tab w:val="left" w:pos="1418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1418"/>
      </w:tabs>
      <w:spacing w:before="240" w:after="60"/>
      <w:jc w:val="both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EB24E3"/>
    <w:pPr>
      <w:tabs>
        <w:tab w:val="left" w:pos="1418"/>
      </w:tabs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1418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2"/>
      </w:numPr>
      <w:suppressLineNumbers/>
      <w:tabs>
        <w:tab w:val="clear" w:pos="1418"/>
        <w:tab w:val="left" w:pos="1701"/>
      </w:tabs>
      <w:spacing w:after="240"/>
    </w:pPr>
  </w:style>
  <w:style w:type="paragraph" w:customStyle="1" w:styleId="Captulo">
    <w:name w:val="Capítulo"/>
    <w:basedOn w:val="Normal"/>
    <w:next w:val="Seo"/>
    <w:pPr>
      <w:numPr>
        <w:numId w:val="4"/>
      </w:numPr>
      <w:ind w:right="284"/>
      <w:jc w:val="both"/>
    </w:pPr>
    <w:rPr>
      <w:sz w:val="24"/>
    </w:rPr>
  </w:style>
  <w:style w:type="paragraph" w:customStyle="1" w:styleId="Seo">
    <w:name w:val="Seção"/>
    <w:basedOn w:val="Normal"/>
    <w:next w:val="Linha"/>
    <w:pPr>
      <w:numPr>
        <w:numId w:val="5"/>
      </w:numPr>
      <w:ind w:right="284"/>
      <w:jc w:val="both"/>
    </w:pPr>
    <w:rPr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Ttulo29">
    <w:name w:val="Título29"/>
    <w:basedOn w:val="Normal"/>
    <w:next w:val="Captulo"/>
    <w:pPr>
      <w:numPr>
        <w:numId w:val="3"/>
      </w:numPr>
      <w:ind w:right="284"/>
      <w:jc w:val="both"/>
    </w:pPr>
    <w:rPr>
      <w:sz w:val="24"/>
    </w:rPr>
  </w:style>
  <w:style w:type="paragraph" w:customStyle="1" w:styleId="Anexos">
    <w:name w:val="Anexos"/>
    <w:next w:val="Normal"/>
    <w:pPr>
      <w:numPr>
        <w:numId w:val="6"/>
      </w:numPr>
      <w:tabs>
        <w:tab w:val="clear" w:pos="1800"/>
      </w:tabs>
      <w:spacing w:before="360"/>
    </w:pPr>
    <w:rPr>
      <w:sz w:val="24"/>
    </w:rPr>
  </w:style>
  <w:style w:type="paragraph" w:customStyle="1" w:styleId="Corpo">
    <w:name w:val="Corpo"/>
    <w:basedOn w:val="Normal"/>
    <w:pPr>
      <w:numPr>
        <w:numId w:val="7"/>
      </w:numPr>
      <w:spacing w:after="240"/>
      <w:jc w:val="both"/>
      <w:outlineLvl w:val="0"/>
    </w:pPr>
    <w:rPr>
      <w:sz w:val="24"/>
    </w:rPr>
  </w:style>
  <w:style w:type="paragraph" w:customStyle="1" w:styleId="CorpoAlterao">
    <w:name w:val="CorpoAlteração"/>
    <w:basedOn w:val="Normal"/>
    <w:pPr>
      <w:numPr>
        <w:numId w:val="8"/>
      </w:numPr>
      <w:spacing w:after="240"/>
      <w:jc w:val="both"/>
      <w:outlineLvl w:val="0"/>
    </w:pPr>
    <w:rPr>
      <w:noProof/>
      <w:sz w:val="24"/>
    </w:rPr>
  </w:style>
  <w:style w:type="paragraph" w:customStyle="1" w:styleId="CorpoAlterao2">
    <w:name w:val="CorpoAlteração2"/>
    <w:basedOn w:val="CorpoAlterao"/>
    <w:pPr>
      <w:numPr>
        <w:numId w:val="9"/>
      </w:numPr>
      <w:tabs>
        <w:tab w:val="num" w:pos="360"/>
      </w:tabs>
    </w:pPr>
  </w:style>
  <w:style w:type="paragraph" w:customStyle="1" w:styleId="OrdemResolveu">
    <w:name w:val="OrdemResolveu"/>
    <w:next w:val="Corpo"/>
    <w:pPr>
      <w:numPr>
        <w:numId w:val="22"/>
      </w:numPr>
      <w:tabs>
        <w:tab w:val="clear" w:pos="2520"/>
      </w:tabs>
      <w:spacing w:after="240"/>
    </w:pPr>
    <w:rPr>
      <w:sz w:val="24"/>
    </w:rPr>
  </w:style>
  <w:style w:type="paragraph" w:customStyle="1" w:styleId="Epgrafe">
    <w:name w:val="Epígrafe"/>
    <w:next w:val="Ementa"/>
    <w:pPr>
      <w:widowControl w:val="0"/>
      <w:numPr>
        <w:numId w:val="19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Ementa">
    <w:name w:val="Ementa"/>
    <w:basedOn w:val="Normal"/>
    <w:next w:val="Intrito"/>
    <w:pPr>
      <w:spacing w:after="360"/>
      <w:ind w:left="5103"/>
      <w:jc w:val="both"/>
    </w:pPr>
    <w:rPr>
      <w:sz w:val="24"/>
    </w:rPr>
  </w:style>
  <w:style w:type="paragraph" w:customStyle="1" w:styleId="Intrito">
    <w:name w:val="Intróito"/>
    <w:basedOn w:val="Normal"/>
    <w:next w:val="OrdemResolveu"/>
    <w:pPr>
      <w:spacing w:after="240"/>
      <w:ind w:firstLine="1418"/>
      <w:jc w:val="both"/>
    </w:pPr>
    <w:rPr>
      <w:sz w:val="24"/>
    </w:rPr>
  </w:style>
  <w:style w:type="paragraph" w:customStyle="1" w:styleId="LocalDataDF">
    <w:name w:val="LocalDataDF"/>
    <w:next w:val="Normal"/>
    <w:pPr>
      <w:numPr>
        <w:numId w:val="12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S">
    <w:name w:val="LocalDataRS"/>
    <w:basedOn w:val="LocalDataDF"/>
    <w:next w:val="Normal"/>
    <w:pPr>
      <w:numPr>
        <w:numId w:val="18"/>
      </w:numPr>
      <w:tabs>
        <w:tab w:val="clear" w:pos="1440"/>
        <w:tab w:val="num" w:pos="360"/>
      </w:tabs>
    </w:pPr>
  </w:style>
  <w:style w:type="paragraph" w:customStyle="1" w:styleId="LocalDataBA">
    <w:name w:val="LocalDataBA"/>
    <w:basedOn w:val="LocalDataRS"/>
    <w:next w:val="Normal"/>
    <w:pPr>
      <w:numPr>
        <w:numId w:val="10"/>
      </w:numPr>
      <w:tabs>
        <w:tab w:val="clear" w:pos="1080"/>
        <w:tab w:val="num" w:pos="360"/>
      </w:tabs>
      <w:ind w:left="0" w:firstLine="0"/>
    </w:pPr>
  </w:style>
  <w:style w:type="paragraph" w:customStyle="1" w:styleId="LocalDataCE">
    <w:name w:val="LocalDataCE"/>
    <w:next w:val="Normal"/>
    <w:pPr>
      <w:numPr>
        <w:numId w:val="11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MG">
    <w:name w:val="LocalDataMG"/>
    <w:basedOn w:val="LocalDataRS"/>
    <w:next w:val="Normal"/>
    <w:pPr>
      <w:numPr>
        <w:numId w:val="13"/>
      </w:numPr>
      <w:tabs>
        <w:tab w:val="clear" w:pos="1800"/>
        <w:tab w:val="num" w:pos="360"/>
      </w:tabs>
      <w:ind w:firstLine="5103"/>
    </w:pPr>
  </w:style>
  <w:style w:type="paragraph" w:customStyle="1" w:styleId="LocalDataPA">
    <w:name w:val="LocalDataPA"/>
    <w:next w:val="Normal"/>
    <w:pPr>
      <w:numPr>
        <w:numId w:val="14"/>
      </w:numPr>
      <w:tabs>
        <w:tab w:val="clear" w:pos="360"/>
      </w:tabs>
      <w:spacing w:before="360" w:after="600"/>
      <w:jc w:val="right"/>
    </w:pPr>
    <w:rPr>
      <w:sz w:val="24"/>
    </w:rPr>
  </w:style>
  <w:style w:type="paragraph" w:customStyle="1" w:styleId="LocalDataPE">
    <w:name w:val="LocalDataPE"/>
    <w:next w:val="Normal"/>
    <w:pPr>
      <w:numPr>
        <w:numId w:val="15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LocalDataPR">
    <w:name w:val="LocalDataPR"/>
    <w:next w:val="Normal"/>
    <w:pPr>
      <w:numPr>
        <w:numId w:val="16"/>
      </w:numPr>
      <w:tabs>
        <w:tab w:val="clear" w:pos="108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J">
    <w:name w:val="LocalDataRJ"/>
    <w:next w:val="Normal"/>
    <w:pPr>
      <w:numPr>
        <w:numId w:val="17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OrdemDecidiu">
    <w:name w:val="OrdemDecidiu"/>
    <w:basedOn w:val="Ementa"/>
    <w:next w:val="Corpo"/>
    <w:pPr>
      <w:numPr>
        <w:numId w:val="20"/>
      </w:numPr>
      <w:spacing w:after="240"/>
      <w:outlineLvl w:val="0"/>
    </w:pPr>
  </w:style>
  <w:style w:type="paragraph" w:customStyle="1" w:styleId="OrdemResolve">
    <w:name w:val="OrdemResolve"/>
    <w:next w:val="Corpo"/>
    <w:pPr>
      <w:numPr>
        <w:numId w:val="21"/>
      </w:numPr>
      <w:tabs>
        <w:tab w:val="clear" w:pos="2520"/>
      </w:tabs>
      <w:spacing w:after="240"/>
    </w:pPr>
    <w:rPr>
      <w:sz w:val="24"/>
    </w:rPr>
  </w:style>
  <w:style w:type="paragraph" w:customStyle="1" w:styleId="Vocativo">
    <w:name w:val="Vocativo"/>
    <w:pPr>
      <w:numPr>
        <w:numId w:val="23"/>
      </w:numPr>
      <w:jc w:val="both"/>
    </w:pPr>
    <w:rPr>
      <w:noProof/>
      <w:sz w:val="24"/>
    </w:rPr>
  </w:style>
  <w:style w:type="paragraph" w:customStyle="1" w:styleId="EpgrafeComunicao">
    <w:name w:val="EpígrafeComunicação"/>
    <w:basedOn w:val="Normal"/>
    <w:pPr>
      <w:numPr>
        <w:numId w:val="24"/>
      </w:numPr>
      <w:tabs>
        <w:tab w:val="clear" w:pos="1440"/>
      </w:tabs>
      <w:spacing w:before="1080" w:after="360"/>
      <w:jc w:val="both"/>
    </w:pPr>
    <w:rPr>
      <w:sz w:val="24"/>
    </w:rPr>
  </w:style>
  <w:style w:type="paragraph" w:customStyle="1" w:styleId="ementa0">
    <w:name w:val="ementa"/>
    <w:next w:val="Normal"/>
    <w:autoRedefine/>
    <w:pPr>
      <w:ind w:left="5103"/>
    </w:pPr>
    <w:rPr>
      <w:sz w:val="24"/>
    </w:rPr>
  </w:style>
  <w:style w:type="paragraph" w:customStyle="1" w:styleId="ttulo">
    <w:name w:val="título"/>
    <w:next w:val="ementa0"/>
    <w:autoRedefine/>
    <w:pPr>
      <w:jc w:val="center"/>
    </w:pPr>
    <w:rPr>
      <w:small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1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10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10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1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1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10D"/>
    <w:rPr>
      <w:rFonts w:ascii="Segoe UI" w:hAnsi="Segoe UI" w:cs="Segoe UI"/>
      <w:sz w:val="18"/>
      <w:szCs w:val="18"/>
    </w:rPr>
  </w:style>
  <w:style w:type="paragraph" w:customStyle="1" w:styleId="Paragrafo">
    <w:name w:val="Paragrafo"/>
    <w:basedOn w:val="Normal"/>
    <w:link w:val="ParagrafoChar"/>
    <w:qFormat/>
    <w:rsid w:val="00860665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860665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223-8D01-4E15-B3B0-44927B5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38</TotalTime>
  <Pages>2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25</cp:revision>
  <cp:lastPrinted>2009-04-27T14:05:00Z</cp:lastPrinted>
  <dcterms:created xsi:type="dcterms:W3CDTF">2014-07-23T14:28:00Z</dcterms:created>
  <dcterms:modified xsi:type="dcterms:W3CDTF">2021-05-01T21:55:00Z</dcterms:modified>
</cp:coreProperties>
</file>