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9F6" w14:textId="77777777" w:rsidR="00920452" w:rsidRPr="008643CE" w:rsidRDefault="00920452" w:rsidP="00920452">
      <w:pPr>
        <w:pStyle w:val="Cabealho"/>
        <w:tabs>
          <w:tab w:val="left" w:pos="993"/>
          <w:tab w:val="right" w:pos="9639"/>
        </w:tabs>
        <w:rPr>
          <w:sz w:val="20"/>
        </w:rPr>
      </w:pPr>
      <w:r w:rsidRPr="008643CE">
        <w:rPr>
          <w:sz w:val="20"/>
        </w:rPr>
        <w:t>TÍTULO</w:t>
      </w:r>
      <w:r w:rsidRPr="008643CE">
        <w:rPr>
          <w:sz w:val="20"/>
        </w:rPr>
        <w:tab/>
        <w:t>: CRÉDITO RURAL</w:t>
      </w:r>
      <w:r w:rsidRPr="008643CE">
        <w:rPr>
          <w:sz w:val="20"/>
        </w:rPr>
        <w:tab/>
      </w:r>
      <w:r w:rsidRPr="008643CE">
        <w:rPr>
          <w:sz w:val="20"/>
        </w:rPr>
        <w:fldChar w:fldCharType="begin"/>
      </w:r>
      <w:r w:rsidRPr="008643CE">
        <w:rPr>
          <w:sz w:val="20"/>
        </w:rPr>
        <w:instrText xml:space="preserve"> PAGE  \* MERGEFORMAT </w:instrText>
      </w:r>
      <w:r w:rsidRPr="008643CE">
        <w:rPr>
          <w:sz w:val="20"/>
        </w:rPr>
        <w:fldChar w:fldCharType="separate"/>
      </w:r>
      <w:r w:rsidR="0060097A" w:rsidRPr="008643CE">
        <w:rPr>
          <w:noProof/>
          <w:sz w:val="20"/>
        </w:rPr>
        <w:t>1</w:t>
      </w:r>
      <w:r w:rsidRPr="008643CE">
        <w:rPr>
          <w:sz w:val="20"/>
        </w:rPr>
        <w:fldChar w:fldCharType="end"/>
      </w:r>
    </w:p>
    <w:p w14:paraId="16CFA1E7" w14:textId="77777777" w:rsidR="00920452" w:rsidRPr="008643CE" w:rsidRDefault="00920452" w:rsidP="00920452">
      <w:pPr>
        <w:pStyle w:val="Cabealho"/>
        <w:tabs>
          <w:tab w:val="left" w:pos="993"/>
          <w:tab w:val="right" w:pos="9639"/>
        </w:tabs>
        <w:rPr>
          <w:sz w:val="20"/>
        </w:rPr>
      </w:pPr>
      <w:r w:rsidRPr="008643CE">
        <w:rPr>
          <w:sz w:val="20"/>
        </w:rPr>
        <w:t>CAPÍTULO</w:t>
      </w:r>
      <w:r w:rsidRPr="008643CE">
        <w:rPr>
          <w:sz w:val="20"/>
        </w:rPr>
        <w:tab/>
        <w:t xml:space="preserve">: </w:t>
      </w:r>
      <w:r w:rsidR="0010392B" w:rsidRPr="008643CE">
        <w:rPr>
          <w:sz w:val="20"/>
        </w:rPr>
        <w:t>Recursos - 6</w:t>
      </w:r>
    </w:p>
    <w:p w14:paraId="3682E519" w14:textId="07A9E535" w:rsidR="00920452" w:rsidRPr="008643CE" w:rsidRDefault="00920452" w:rsidP="00920452">
      <w:pPr>
        <w:pStyle w:val="Cabealho"/>
        <w:tabs>
          <w:tab w:val="left" w:pos="993"/>
          <w:tab w:val="right" w:pos="9639"/>
          <w:tab w:val="right" w:pos="10064"/>
        </w:tabs>
        <w:rPr>
          <w:sz w:val="20"/>
        </w:rPr>
      </w:pPr>
      <w:r w:rsidRPr="008643CE">
        <w:rPr>
          <w:sz w:val="20"/>
        </w:rPr>
        <w:t>SEÇÃO</w:t>
      </w:r>
      <w:r w:rsidRPr="008643CE">
        <w:rPr>
          <w:sz w:val="20"/>
        </w:rPr>
        <w:tab/>
        <w:t xml:space="preserve">: </w:t>
      </w:r>
      <w:r w:rsidR="00E94AF6" w:rsidRPr="008643CE">
        <w:rPr>
          <w:sz w:val="20"/>
        </w:rPr>
        <w:t>Normas Transitórias</w:t>
      </w:r>
      <w:r w:rsidR="0010392B" w:rsidRPr="008643CE">
        <w:rPr>
          <w:sz w:val="20"/>
        </w:rPr>
        <w:t xml:space="preserve"> </w:t>
      </w:r>
      <w:r w:rsidR="00FE799A" w:rsidRPr="008643CE">
        <w:rPr>
          <w:sz w:val="20"/>
        </w:rPr>
        <w:t>-</w:t>
      </w:r>
      <w:r w:rsidR="0010392B" w:rsidRPr="008643CE">
        <w:rPr>
          <w:sz w:val="20"/>
        </w:rPr>
        <w:t xml:space="preserve"> 8</w:t>
      </w:r>
    </w:p>
    <w:p w14:paraId="569BC32D" w14:textId="77777777" w:rsidR="00920452" w:rsidRPr="008643CE" w:rsidRDefault="00920452" w:rsidP="00920452">
      <w:pPr>
        <w:pStyle w:val="Cabealho"/>
        <w:tabs>
          <w:tab w:val="left" w:pos="993"/>
          <w:tab w:val="right" w:pos="9639"/>
        </w:tabs>
        <w:rPr>
          <w:sz w:val="20"/>
        </w:rPr>
      </w:pPr>
      <w:r w:rsidRPr="008643CE">
        <w:rPr>
          <w:sz w:val="20"/>
        </w:rPr>
        <w:t>_____________________________________________________________________________________________</w:t>
      </w:r>
    </w:p>
    <w:p w14:paraId="4B9C59CF" w14:textId="653272AE" w:rsidR="00FE799A" w:rsidRPr="008643CE" w:rsidRDefault="00405D45" w:rsidP="00FE799A">
      <w:pPr>
        <w:tabs>
          <w:tab w:val="right" w:pos="9923"/>
          <w:tab w:val="right" w:pos="10064"/>
        </w:tabs>
        <w:spacing w:before="120" w:after="120"/>
        <w:ind w:left="284" w:hanging="284"/>
        <w:rPr>
          <w:sz w:val="20"/>
        </w:rPr>
      </w:pPr>
      <w:r w:rsidRPr="008643CE">
        <w:rPr>
          <w:sz w:val="20"/>
        </w:rPr>
        <w:t xml:space="preserve">1 - </w:t>
      </w:r>
      <w:r w:rsidR="00FE799A" w:rsidRPr="008643CE">
        <w:rPr>
          <w:sz w:val="20"/>
        </w:rPr>
        <w:t xml:space="preserve">Os saldos dos repasses interfinanceiros contratados até 30 de junho de 2017 podem ser computados para o cumprimento das exigibilidades e </w:t>
      </w:r>
      <w:proofErr w:type="spellStart"/>
      <w:r w:rsidR="00FE799A" w:rsidRPr="008643CE">
        <w:rPr>
          <w:sz w:val="20"/>
        </w:rPr>
        <w:t>subexigibilidades</w:t>
      </w:r>
      <w:proofErr w:type="spellEnd"/>
      <w:r w:rsidR="00FE799A" w:rsidRPr="008643CE">
        <w:rPr>
          <w:sz w:val="20"/>
        </w:rPr>
        <w:t xml:space="preserve"> de que trata este Capítulo, até sua liquidação.</w:t>
      </w:r>
      <w:r w:rsidR="009902F8" w:rsidRPr="008643CE">
        <w:rPr>
          <w:sz w:val="20"/>
        </w:rPr>
        <w:t xml:space="preserve"> (Res CMN 4.901 art. 1º)</w:t>
      </w:r>
    </w:p>
    <w:p w14:paraId="482E2846" w14:textId="275EAACB" w:rsidR="00FE799A" w:rsidRPr="008643CE" w:rsidRDefault="00FE799A" w:rsidP="00FE799A">
      <w:pPr>
        <w:tabs>
          <w:tab w:val="clear" w:pos="1418"/>
          <w:tab w:val="right" w:pos="9923"/>
          <w:tab w:val="right" w:pos="10064"/>
        </w:tabs>
        <w:ind w:left="284" w:hanging="284"/>
        <w:rPr>
          <w:sz w:val="20"/>
        </w:rPr>
      </w:pPr>
      <w:r w:rsidRPr="008643CE">
        <w:rPr>
          <w:sz w:val="20"/>
        </w:rPr>
        <w:t xml:space="preserve">2 - No âmbito dos Recursos Obrigatórios, os saldos das seguintes operações continuarão sendo computados para fins de cumprimento da exigibilidade e das </w:t>
      </w:r>
      <w:proofErr w:type="spellStart"/>
      <w:r w:rsidRPr="008643CE">
        <w:rPr>
          <w:sz w:val="20"/>
        </w:rPr>
        <w:t>subexigibilidades</w:t>
      </w:r>
      <w:proofErr w:type="spellEnd"/>
      <w:r w:rsidRPr="008643CE">
        <w:rPr>
          <w:sz w:val="20"/>
        </w:rPr>
        <w:t xml:space="preserve"> previstas nesta Seção, até sua liquidação:</w:t>
      </w:r>
      <w:r w:rsidR="009902F8" w:rsidRPr="008643CE">
        <w:rPr>
          <w:sz w:val="20"/>
        </w:rPr>
        <w:t xml:space="preserve"> (Res CMN 4.901 art. 1º)</w:t>
      </w:r>
    </w:p>
    <w:p w14:paraId="2DCBE99C" w14:textId="77777777" w:rsidR="00FE799A" w:rsidRPr="008643CE" w:rsidRDefault="00FE799A" w:rsidP="00FE799A">
      <w:pPr>
        <w:tabs>
          <w:tab w:val="clear" w:pos="1418"/>
        </w:tabs>
        <w:ind w:left="567" w:hanging="283"/>
        <w:rPr>
          <w:rFonts w:eastAsia="Calibri"/>
          <w:sz w:val="20"/>
        </w:rPr>
      </w:pPr>
      <w:r w:rsidRPr="008643CE">
        <w:rPr>
          <w:rFonts w:eastAsia="Calibri"/>
          <w:sz w:val="20"/>
        </w:rPr>
        <w:t xml:space="preserve">a) contratadas até 30 de junho de 2015: operações de investimento ao amparo do </w:t>
      </w:r>
      <w:r w:rsidRPr="008643CE">
        <w:rPr>
          <w:sz w:val="20"/>
        </w:rPr>
        <w:t>Programa Nacional de Fortalecimento da Agricultura Familiar</w:t>
      </w:r>
      <w:r w:rsidRPr="008643CE">
        <w:rPr>
          <w:rFonts w:eastAsia="Calibri"/>
          <w:sz w:val="20"/>
        </w:rPr>
        <w:t xml:space="preserve"> (Pronaf) e do </w:t>
      </w:r>
      <w:r w:rsidRPr="008643CE">
        <w:rPr>
          <w:sz w:val="20"/>
        </w:rPr>
        <w:t>Programa Nacional de Apoio ao Médio Produtor Rural (</w:t>
      </w:r>
      <w:proofErr w:type="spellStart"/>
      <w:r w:rsidRPr="008643CE">
        <w:rPr>
          <w:rFonts w:eastAsia="Calibri"/>
          <w:sz w:val="20"/>
        </w:rPr>
        <w:t>Pronamp</w:t>
      </w:r>
      <w:proofErr w:type="spellEnd"/>
      <w:r w:rsidRPr="008643CE">
        <w:rPr>
          <w:rFonts w:eastAsia="Calibri"/>
          <w:sz w:val="20"/>
        </w:rPr>
        <w:t>);</w:t>
      </w:r>
    </w:p>
    <w:p w14:paraId="02CDD9E5" w14:textId="77777777" w:rsidR="00FE799A" w:rsidRPr="008643CE" w:rsidRDefault="00FE799A" w:rsidP="00FE799A">
      <w:pPr>
        <w:tabs>
          <w:tab w:val="clear" w:pos="1418"/>
        </w:tabs>
        <w:spacing w:after="120"/>
        <w:ind w:left="568" w:hanging="284"/>
        <w:rPr>
          <w:rFonts w:eastAsia="Calibri"/>
          <w:sz w:val="20"/>
        </w:rPr>
      </w:pPr>
      <w:r w:rsidRPr="008643CE">
        <w:rPr>
          <w:rFonts w:eastAsia="Calibri"/>
          <w:sz w:val="20"/>
        </w:rPr>
        <w:t>b) contratadas até 30 de junho de 2017: operações de investimento e Financiamentos para Garantia de Preços ao Produtor (FGPP).</w:t>
      </w:r>
    </w:p>
    <w:p w14:paraId="2E2CDFF6" w14:textId="063FD614" w:rsidR="00FE799A" w:rsidRPr="008643CE" w:rsidRDefault="00FE799A" w:rsidP="00FE799A">
      <w:pPr>
        <w:tabs>
          <w:tab w:val="clear" w:pos="1418"/>
          <w:tab w:val="right" w:pos="9923"/>
        </w:tabs>
        <w:ind w:left="284" w:hanging="284"/>
        <w:rPr>
          <w:sz w:val="20"/>
        </w:rPr>
      </w:pPr>
      <w:r w:rsidRPr="008643CE">
        <w:rPr>
          <w:sz w:val="20"/>
        </w:rPr>
        <w:t xml:space="preserve">3 - No âmbito dos Recursos Obrigatórios, para efeito de cumprimento da exigibilidade e das </w:t>
      </w:r>
      <w:proofErr w:type="spellStart"/>
      <w:r w:rsidRPr="008643CE">
        <w:rPr>
          <w:sz w:val="20"/>
        </w:rPr>
        <w:t>subexigibilidades</w:t>
      </w:r>
      <w:proofErr w:type="spellEnd"/>
      <w:r w:rsidRPr="008643CE">
        <w:rPr>
          <w:sz w:val="20"/>
        </w:rPr>
        <w:t>, o valor correspondente ao saldo médio diário das operações ao amparo do Pronaf contratadas até 30 de junho de 2018, inclusive de renegociações expressamente admitidas, deve ser computado mediante a sua multiplicação pelos seguintes fatores de ponderação, de acordo com a taxa efetiva de juros contratada:</w:t>
      </w:r>
      <w:r w:rsidR="009902F8" w:rsidRPr="008643CE">
        <w:rPr>
          <w:sz w:val="20"/>
        </w:rPr>
        <w:t xml:space="preserve"> (Res CMN 4.901 art. 1º)</w:t>
      </w:r>
    </w:p>
    <w:p w14:paraId="0A98BBEF" w14:textId="77777777" w:rsidR="00FE799A" w:rsidRPr="008643CE" w:rsidRDefault="00FE799A" w:rsidP="00FE799A">
      <w:pPr>
        <w:tabs>
          <w:tab w:val="clear" w:pos="1418"/>
          <w:tab w:val="right" w:pos="9923"/>
        </w:tabs>
        <w:ind w:left="568" w:hanging="284"/>
        <w:rPr>
          <w:sz w:val="20"/>
        </w:rPr>
      </w:pPr>
      <w:r w:rsidRPr="008643CE">
        <w:rPr>
          <w:sz w:val="20"/>
        </w:rPr>
        <w:t>a) 1,38 (um inteiro e trinta e oito centésimos) para as operações cuja taxa de juros à época da contratação era de até 2,5% a.a. (dois inteiros e cinco décimos por cento ao ano);</w:t>
      </w:r>
    </w:p>
    <w:p w14:paraId="206E88F5" w14:textId="77777777" w:rsidR="00FE799A" w:rsidRPr="008643CE" w:rsidRDefault="00FE799A" w:rsidP="00FE799A">
      <w:pPr>
        <w:tabs>
          <w:tab w:val="clear" w:pos="1418"/>
          <w:tab w:val="right" w:pos="9923"/>
        </w:tabs>
        <w:spacing w:after="120"/>
        <w:ind w:left="568" w:hanging="284"/>
        <w:rPr>
          <w:sz w:val="20"/>
        </w:rPr>
      </w:pPr>
      <w:r w:rsidRPr="008643CE">
        <w:rPr>
          <w:sz w:val="20"/>
        </w:rPr>
        <w:t>b) 1,15 (um inteiro e quinze centésimos) para as operações cuja taxa de juros à época da contratação era superior a 2,5% a.a. (dois inteiros e cinco décimos por cento ao ano).</w:t>
      </w:r>
    </w:p>
    <w:p w14:paraId="4B88DD45" w14:textId="757790F0" w:rsidR="00FE799A" w:rsidRPr="008643CE" w:rsidRDefault="00FE799A" w:rsidP="00FE799A">
      <w:pPr>
        <w:tabs>
          <w:tab w:val="clear" w:pos="1418"/>
          <w:tab w:val="right" w:pos="9923"/>
        </w:tabs>
        <w:spacing w:after="120"/>
        <w:ind w:left="284" w:hanging="284"/>
        <w:rPr>
          <w:sz w:val="20"/>
        </w:rPr>
      </w:pPr>
      <w:r w:rsidRPr="008643CE">
        <w:rPr>
          <w:sz w:val="20"/>
        </w:rPr>
        <w:t xml:space="preserve">4 - As instituições financeiras detentoras de saldos de operações de crédito rural de custeio e de comercialização sujeitos à incidência do fator de ponderação de 2,2 (dois inteiros e dois décimos) instituído pela Resolução nº 4.259, de 8 de agosto de 2013, poderão renunciar à utilização do referido fator, para fins de cumprimento da exigibilidade e da </w:t>
      </w:r>
      <w:proofErr w:type="spellStart"/>
      <w:r w:rsidRPr="008643CE">
        <w:rPr>
          <w:sz w:val="20"/>
        </w:rPr>
        <w:t>subexigibilidade</w:t>
      </w:r>
      <w:proofErr w:type="spellEnd"/>
      <w:r w:rsidRPr="008643CE">
        <w:rPr>
          <w:sz w:val="20"/>
        </w:rPr>
        <w:t xml:space="preserve"> de aplicação dos Recursos da Poupança Rural, a partir de 1º de outubro de 2014, desde que o referido ato de renúncia tenha sido comunicado ao Banco Central do Brasil até 14 de novembro de 2014, mediante documento assinado pelo diretor encarregado da área de crédito rural.</w:t>
      </w:r>
      <w:r w:rsidR="009902F8" w:rsidRPr="008643CE">
        <w:rPr>
          <w:sz w:val="20"/>
        </w:rPr>
        <w:t xml:space="preserve"> (Res CMN 4.901 art. 1º)</w:t>
      </w:r>
    </w:p>
    <w:p w14:paraId="5C9D77BB" w14:textId="2DABFC83" w:rsidR="00FE799A" w:rsidRPr="008643CE" w:rsidRDefault="00FE799A" w:rsidP="00FE799A">
      <w:pPr>
        <w:tabs>
          <w:tab w:val="clear" w:pos="1418"/>
          <w:tab w:val="right" w:pos="9923"/>
        </w:tabs>
        <w:ind w:left="284" w:hanging="284"/>
        <w:rPr>
          <w:sz w:val="20"/>
        </w:rPr>
      </w:pPr>
      <w:r w:rsidRPr="008643CE">
        <w:rPr>
          <w:sz w:val="20"/>
        </w:rPr>
        <w:t xml:space="preserve">5 - No âmbito dos Recursos Obrigatórios, os saldos das operações contratadas com base nos seguintes normativos podem ser utilizados para cumprimento da </w:t>
      </w:r>
      <w:proofErr w:type="spellStart"/>
      <w:r w:rsidRPr="008643CE">
        <w:rPr>
          <w:sz w:val="20"/>
        </w:rPr>
        <w:t>Subexigibilidade</w:t>
      </w:r>
      <w:proofErr w:type="spellEnd"/>
      <w:r w:rsidRPr="008643CE">
        <w:rPr>
          <w:sz w:val="20"/>
        </w:rPr>
        <w:t xml:space="preserve"> Pronaf, até a liquidação das operações:</w:t>
      </w:r>
      <w:r w:rsidR="009902F8" w:rsidRPr="008643CE">
        <w:rPr>
          <w:sz w:val="20"/>
        </w:rPr>
        <w:t xml:space="preserve"> (Res CMN 4.901 art. 1º)</w:t>
      </w:r>
    </w:p>
    <w:p w14:paraId="20072EB5" w14:textId="78536299" w:rsidR="00FE799A" w:rsidRPr="008643CE" w:rsidRDefault="00FE799A" w:rsidP="00FE799A">
      <w:pPr>
        <w:tabs>
          <w:tab w:val="clear" w:pos="1418"/>
          <w:tab w:val="right" w:pos="9923"/>
        </w:tabs>
        <w:ind w:left="568" w:hanging="284"/>
        <w:rPr>
          <w:sz w:val="20"/>
        </w:rPr>
      </w:pPr>
      <w:r w:rsidRPr="008643CE">
        <w:rPr>
          <w:sz w:val="20"/>
        </w:rPr>
        <w:t>a) art. 4º da Resolução nº 4.801, de 9 de abril de 2020;</w:t>
      </w:r>
    </w:p>
    <w:p w14:paraId="4E978D33" w14:textId="77777777" w:rsidR="00FE799A" w:rsidRPr="008643CE" w:rsidRDefault="00FE799A" w:rsidP="00FE799A">
      <w:pPr>
        <w:tabs>
          <w:tab w:val="clear" w:pos="1418"/>
          <w:tab w:val="right" w:pos="9923"/>
        </w:tabs>
        <w:ind w:left="568" w:hanging="284"/>
        <w:rPr>
          <w:sz w:val="20"/>
        </w:rPr>
      </w:pPr>
      <w:r w:rsidRPr="008643CE">
        <w:rPr>
          <w:sz w:val="20"/>
        </w:rPr>
        <w:t>b) art. 3º da Resolução nº 4.802, de 9 de abril de 2020;</w:t>
      </w:r>
    </w:p>
    <w:p w14:paraId="2710C741" w14:textId="77777777" w:rsidR="00FE799A" w:rsidRPr="008643CE" w:rsidRDefault="00FE799A" w:rsidP="00FE799A">
      <w:pPr>
        <w:tabs>
          <w:tab w:val="clear" w:pos="1418"/>
          <w:tab w:val="right" w:pos="9923"/>
        </w:tabs>
        <w:ind w:left="568" w:hanging="284"/>
        <w:rPr>
          <w:sz w:val="20"/>
        </w:rPr>
      </w:pPr>
      <w:r w:rsidRPr="008643CE">
        <w:rPr>
          <w:sz w:val="20"/>
        </w:rPr>
        <w:t>c) art. 4º da Resolução CMN nº 4.802, de 2020, desde que as respectivas operações:</w:t>
      </w:r>
    </w:p>
    <w:p w14:paraId="49B8C767" w14:textId="77777777" w:rsidR="00FE799A" w:rsidRPr="008643CE" w:rsidRDefault="00FE799A" w:rsidP="00FE799A">
      <w:pPr>
        <w:tabs>
          <w:tab w:val="clear" w:pos="1418"/>
        </w:tabs>
        <w:ind w:left="851" w:right="-1" w:hanging="284"/>
        <w:rPr>
          <w:rFonts w:eastAsia="PMingLiU"/>
          <w:sz w:val="20"/>
        </w:rPr>
      </w:pPr>
      <w:r w:rsidRPr="008643CE">
        <w:rPr>
          <w:rFonts w:eastAsia="PMingLiU"/>
          <w:sz w:val="20"/>
        </w:rPr>
        <w:t xml:space="preserve">I - </w:t>
      </w:r>
      <w:proofErr w:type="gramStart"/>
      <w:r w:rsidRPr="008643CE">
        <w:rPr>
          <w:rFonts w:eastAsia="PMingLiU"/>
          <w:sz w:val="20"/>
        </w:rPr>
        <w:t>destinem-se</w:t>
      </w:r>
      <w:proofErr w:type="gramEnd"/>
      <w:r w:rsidRPr="008643CE">
        <w:rPr>
          <w:rFonts w:eastAsia="PMingLiU"/>
          <w:sz w:val="20"/>
        </w:rPr>
        <w:t xml:space="preserve"> a cooperativas singulares constituídas por beneficiários do Pronaf, com Declaração de Aptidão ao Pronaf (DAP) ativa na data de contratação;</w:t>
      </w:r>
    </w:p>
    <w:p w14:paraId="50C69C80" w14:textId="77777777" w:rsidR="00FE799A" w:rsidRPr="008643CE" w:rsidRDefault="00FE799A" w:rsidP="00FE799A">
      <w:pPr>
        <w:tabs>
          <w:tab w:val="clear" w:pos="1418"/>
        </w:tabs>
        <w:ind w:left="851" w:right="-1" w:hanging="284"/>
        <w:rPr>
          <w:rFonts w:eastAsia="PMingLiU"/>
          <w:sz w:val="20"/>
        </w:rPr>
      </w:pPr>
      <w:r w:rsidRPr="008643CE">
        <w:rPr>
          <w:rFonts w:eastAsia="PMingLiU"/>
          <w:sz w:val="20"/>
        </w:rPr>
        <w:t xml:space="preserve">II - </w:t>
      </w:r>
      <w:proofErr w:type="gramStart"/>
      <w:r w:rsidRPr="008643CE">
        <w:rPr>
          <w:rFonts w:eastAsia="PMingLiU"/>
          <w:sz w:val="20"/>
        </w:rPr>
        <w:t>possuam</w:t>
      </w:r>
      <w:proofErr w:type="gramEnd"/>
      <w:r w:rsidRPr="008643CE">
        <w:rPr>
          <w:rFonts w:eastAsia="PMingLiU"/>
          <w:sz w:val="20"/>
        </w:rPr>
        <w:t xml:space="preserve"> taxa efetiva de juros de até 6% a.a. (seis por cento ao ano);</w:t>
      </w:r>
    </w:p>
    <w:p w14:paraId="6E6EAB6C" w14:textId="77777777" w:rsidR="00FE799A" w:rsidRPr="008643CE" w:rsidRDefault="00FE799A" w:rsidP="00FE799A">
      <w:pPr>
        <w:tabs>
          <w:tab w:val="clear" w:pos="1418"/>
          <w:tab w:val="right" w:pos="9923"/>
        </w:tabs>
        <w:ind w:left="568" w:hanging="284"/>
        <w:rPr>
          <w:sz w:val="20"/>
        </w:rPr>
      </w:pPr>
      <w:r w:rsidRPr="008643CE">
        <w:rPr>
          <w:sz w:val="20"/>
        </w:rPr>
        <w:t>d) art. 2º da Resolução nº 4.807, de 30 de abril de 2020;</w:t>
      </w:r>
    </w:p>
    <w:p w14:paraId="26B32EAB" w14:textId="77777777" w:rsidR="00FE799A" w:rsidRPr="008643CE" w:rsidRDefault="00FE799A" w:rsidP="00FE799A">
      <w:pPr>
        <w:tabs>
          <w:tab w:val="clear" w:pos="1418"/>
          <w:tab w:val="right" w:pos="9923"/>
        </w:tabs>
        <w:spacing w:after="120"/>
        <w:ind w:left="568" w:hanging="284"/>
        <w:rPr>
          <w:sz w:val="20"/>
        </w:rPr>
      </w:pPr>
      <w:r w:rsidRPr="008643CE">
        <w:rPr>
          <w:sz w:val="20"/>
        </w:rPr>
        <w:t>e) art.3º da Resolução nº 4.833, de 25 de junho de 2020.</w:t>
      </w:r>
    </w:p>
    <w:p w14:paraId="57E957B5" w14:textId="63EA38B7" w:rsidR="00875AD0" w:rsidRPr="008643CE" w:rsidRDefault="00FE799A" w:rsidP="004128B3">
      <w:pPr>
        <w:tabs>
          <w:tab w:val="clear" w:pos="1418"/>
          <w:tab w:val="right" w:pos="9923"/>
        </w:tabs>
        <w:ind w:left="284" w:hanging="284"/>
        <w:rPr>
          <w:sz w:val="20"/>
        </w:rPr>
      </w:pPr>
      <w:r w:rsidRPr="008643CE">
        <w:rPr>
          <w:sz w:val="20"/>
        </w:rPr>
        <w:t>6 - Os saldos das operações de comercialização, beneficiamento ou industrialização de produtos de origem agropecuária ou de insumos utilizados naquela atividade contratadas até 30 de abril de 2021 com recursos da Poupança Rural e das Letras de Crédito do Agronegócio por pessoas físicas ou jurídicas que não sejam enquadráveis como beneficiários de crédito rural podem ser utilizados para cumprimento das respectivas exigibilidades até a liquidação das operações.</w:t>
      </w:r>
      <w:r w:rsidR="009902F8" w:rsidRPr="008643CE">
        <w:rPr>
          <w:sz w:val="20"/>
        </w:rPr>
        <w:t xml:space="preserve"> (Res CMN 4.901 art. 1º)</w:t>
      </w:r>
    </w:p>
    <w:p w14:paraId="197ADAEE" w14:textId="6CB98AC7" w:rsidR="004128B3" w:rsidRPr="008643CE" w:rsidRDefault="004128B3" w:rsidP="004128B3">
      <w:pPr>
        <w:tabs>
          <w:tab w:val="right" w:pos="9923"/>
          <w:tab w:val="right" w:pos="10064"/>
        </w:tabs>
        <w:spacing w:before="120"/>
        <w:ind w:left="284" w:hanging="284"/>
        <w:rPr>
          <w:sz w:val="20"/>
        </w:rPr>
      </w:pPr>
      <w:r w:rsidRPr="008643CE">
        <w:rPr>
          <w:sz w:val="20"/>
        </w:rPr>
        <w:t>7 - Excepcionalmente no ano agrícola 2021/2022, admite-se que as instituições financeiras contratem operações de crédito rural de investimento com recursos da exigibilidade dos recursos à vista, de que trata o MCR 6-2, nas mesmas condições vigentes para: (Res CMN 4.9</w:t>
      </w:r>
      <w:r w:rsidR="00F10DCC" w:rsidRPr="008643CE">
        <w:rPr>
          <w:sz w:val="20"/>
        </w:rPr>
        <w:t>17</w:t>
      </w:r>
      <w:r w:rsidRPr="008643CE">
        <w:rPr>
          <w:sz w:val="20"/>
        </w:rPr>
        <w:t xml:space="preserve"> art. 1º)</w:t>
      </w:r>
    </w:p>
    <w:p w14:paraId="192D8FF0" w14:textId="77777777" w:rsidR="004128B3" w:rsidRPr="008643CE" w:rsidRDefault="004128B3" w:rsidP="004128B3">
      <w:pPr>
        <w:tabs>
          <w:tab w:val="clear" w:pos="1418"/>
          <w:tab w:val="right" w:pos="9923"/>
        </w:tabs>
        <w:ind w:left="568" w:hanging="284"/>
        <w:rPr>
          <w:sz w:val="20"/>
        </w:rPr>
      </w:pPr>
      <w:r w:rsidRPr="008643CE">
        <w:rPr>
          <w:sz w:val="20"/>
        </w:rPr>
        <w:t>a) o Programa para Redução da Emissão de Gases de Efeito Estufa na Agricultura (Programa ABC), disciplinado no MCR 11-7; e</w:t>
      </w:r>
    </w:p>
    <w:p w14:paraId="03F7BBDD" w14:textId="2282AAC3" w:rsidR="004128B3" w:rsidRPr="008643CE" w:rsidRDefault="004128B3" w:rsidP="00871B4C">
      <w:pPr>
        <w:tabs>
          <w:tab w:val="clear" w:pos="1418"/>
          <w:tab w:val="right" w:pos="9923"/>
        </w:tabs>
        <w:ind w:left="568" w:hanging="284"/>
        <w:rPr>
          <w:sz w:val="20"/>
        </w:rPr>
      </w:pPr>
      <w:r w:rsidRPr="008643CE">
        <w:rPr>
          <w:sz w:val="20"/>
        </w:rPr>
        <w:t>b) o Programa para Construção e Ampliação de Armazéns (PCA), disciplinado no MCR 11-9.</w:t>
      </w:r>
    </w:p>
    <w:p w14:paraId="51D25873" w14:textId="4A7F2482" w:rsidR="00871B4C" w:rsidRPr="008643CE" w:rsidRDefault="00871B4C" w:rsidP="00871B4C">
      <w:pPr>
        <w:tabs>
          <w:tab w:val="right" w:pos="9923"/>
          <w:tab w:val="right" w:pos="10064"/>
        </w:tabs>
        <w:spacing w:before="120"/>
        <w:ind w:left="284" w:hanging="284"/>
        <w:rPr>
          <w:sz w:val="20"/>
        </w:rPr>
      </w:pPr>
      <w:r w:rsidRPr="008643CE">
        <w:rPr>
          <w:sz w:val="20"/>
        </w:rPr>
        <w:t xml:space="preserve">7-A - Excepcionalmente no ano agrícola 2022/2023, admite-se que as instituições financeiras contratem operações de crédito rural de investimento com recursos da exigibilidade dos recursos à vista, de que trata o MCR 6-2, nas mesmas condições vigentes para: (Res CMN 5.029 </w:t>
      </w:r>
      <w:proofErr w:type="spellStart"/>
      <w:r w:rsidRPr="008643CE">
        <w:rPr>
          <w:sz w:val="20"/>
        </w:rPr>
        <w:t>art</w:t>
      </w:r>
      <w:proofErr w:type="spellEnd"/>
      <w:r w:rsidRPr="008643CE">
        <w:rPr>
          <w:sz w:val="20"/>
        </w:rPr>
        <w:t xml:space="preserve"> 2º)</w:t>
      </w:r>
    </w:p>
    <w:p w14:paraId="0D980F0B" w14:textId="77777777" w:rsidR="00871B4C" w:rsidRPr="008643CE" w:rsidRDefault="00871B4C" w:rsidP="00871B4C">
      <w:pPr>
        <w:tabs>
          <w:tab w:val="clear" w:pos="1418"/>
          <w:tab w:val="right" w:pos="9923"/>
        </w:tabs>
        <w:ind w:left="568" w:hanging="284"/>
        <w:rPr>
          <w:sz w:val="20"/>
        </w:rPr>
      </w:pPr>
      <w:r w:rsidRPr="008643CE">
        <w:rPr>
          <w:sz w:val="20"/>
        </w:rPr>
        <w:t>a) o Programa para Redução da Emissão de Gases de Efeito Estufa na Agricultura (Programa ABC), disciplinado no MCR 11-7; e</w:t>
      </w:r>
    </w:p>
    <w:p w14:paraId="09DDC77F" w14:textId="1D85D59E" w:rsidR="00871B4C" w:rsidRPr="008643CE" w:rsidRDefault="00871B4C" w:rsidP="00871B4C">
      <w:pPr>
        <w:tabs>
          <w:tab w:val="clear" w:pos="1418"/>
          <w:tab w:val="right" w:pos="9923"/>
        </w:tabs>
        <w:ind w:left="568" w:hanging="284"/>
        <w:rPr>
          <w:sz w:val="20"/>
        </w:rPr>
      </w:pPr>
      <w:r w:rsidRPr="008643CE">
        <w:rPr>
          <w:sz w:val="20"/>
        </w:rPr>
        <w:t>b) o Programa para Construção e Ampliação de Armazéns (PCA), disciplinado no MCR 11-9.</w:t>
      </w:r>
    </w:p>
    <w:p w14:paraId="4329E88A" w14:textId="638C5780" w:rsidR="007F4C17" w:rsidRPr="00784BCB" w:rsidRDefault="007F4C17" w:rsidP="007F4C17">
      <w:pPr>
        <w:tabs>
          <w:tab w:val="clear" w:pos="1418"/>
          <w:tab w:val="right" w:pos="9923"/>
        </w:tabs>
        <w:spacing w:before="120"/>
        <w:ind w:left="284" w:hanging="284"/>
        <w:rPr>
          <w:sz w:val="20"/>
        </w:rPr>
      </w:pPr>
      <w:r w:rsidRPr="00784BCB">
        <w:rPr>
          <w:sz w:val="20"/>
        </w:rPr>
        <w:t xml:space="preserve">7-B - Excepcionalmente no ano agrícola 2023/2024, admite-se que as instituições financeiras contratem operações de crédito rural de investimento com recursos da exigibilidade dos recursos à vista, de que trata o MCR 6-2, nas mesmas condições vigentes para: (Res 5.087 </w:t>
      </w:r>
      <w:proofErr w:type="spellStart"/>
      <w:r w:rsidRPr="00784BCB">
        <w:rPr>
          <w:sz w:val="20"/>
        </w:rPr>
        <w:t>art</w:t>
      </w:r>
      <w:proofErr w:type="spellEnd"/>
      <w:r w:rsidRPr="00784BCB">
        <w:rPr>
          <w:sz w:val="20"/>
        </w:rPr>
        <w:t xml:space="preserve"> 4º)</w:t>
      </w:r>
      <w:r w:rsidRPr="00784BCB">
        <w:rPr>
          <w:sz w:val="20"/>
        </w:rPr>
        <w:tab/>
        <w:t>(*)</w:t>
      </w:r>
    </w:p>
    <w:p w14:paraId="39CACB54" w14:textId="77777777" w:rsidR="007F4C17" w:rsidRPr="00784BCB" w:rsidRDefault="007F4C17" w:rsidP="007F4C17">
      <w:pPr>
        <w:tabs>
          <w:tab w:val="clear" w:pos="1418"/>
          <w:tab w:val="right" w:pos="9923"/>
        </w:tabs>
        <w:ind w:left="568" w:hanging="284"/>
        <w:rPr>
          <w:sz w:val="20"/>
        </w:rPr>
      </w:pPr>
      <w:r w:rsidRPr="00784BCB">
        <w:rPr>
          <w:sz w:val="20"/>
        </w:rPr>
        <w:lastRenderedPageBreak/>
        <w:t>a) o Programa de Financiamento a Sistemas de Produção Agropecuária Sustentáveis (</w:t>
      </w:r>
      <w:proofErr w:type="spellStart"/>
      <w:r w:rsidRPr="00784BCB">
        <w:rPr>
          <w:sz w:val="20"/>
        </w:rPr>
        <w:t>RenovAgro</w:t>
      </w:r>
      <w:proofErr w:type="spellEnd"/>
      <w:r w:rsidRPr="00784BCB">
        <w:rPr>
          <w:sz w:val="20"/>
        </w:rPr>
        <w:t>), disciplinado no MCR 11-7; e</w:t>
      </w:r>
    </w:p>
    <w:p w14:paraId="142B4DE7" w14:textId="33E71D26" w:rsidR="007F4C17" w:rsidRDefault="007F4C17" w:rsidP="007F4C17">
      <w:pPr>
        <w:tabs>
          <w:tab w:val="clear" w:pos="1418"/>
          <w:tab w:val="right" w:pos="9923"/>
        </w:tabs>
        <w:ind w:left="568" w:hanging="284"/>
        <w:rPr>
          <w:sz w:val="20"/>
        </w:rPr>
      </w:pPr>
      <w:r w:rsidRPr="00784BCB">
        <w:rPr>
          <w:sz w:val="20"/>
        </w:rPr>
        <w:t>b) o Programa para Construção e Ampliação de Armazéns (PCA), disciplinado no MCR 11-9.</w:t>
      </w:r>
    </w:p>
    <w:p w14:paraId="51EEC050" w14:textId="5199A32C" w:rsidR="004128B3" w:rsidRPr="008643CE" w:rsidRDefault="004128B3" w:rsidP="004128B3">
      <w:pPr>
        <w:tabs>
          <w:tab w:val="right" w:pos="9923"/>
          <w:tab w:val="right" w:pos="10064"/>
        </w:tabs>
        <w:spacing w:before="120"/>
        <w:ind w:left="284" w:hanging="284"/>
        <w:rPr>
          <w:sz w:val="20"/>
        </w:rPr>
      </w:pPr>
      <w:r w:rsidRPr="00784BCB">
        <w:rPr>
          <w:sz w:val="20"/>
        </w:rPr>
        <w:t xml:space="preserve">8 - </w:t>
      </w:r>
      <w:r w:rsidR="007F4C17" w:rsidRPr="00784BCB">
        <w:rPr>
          <w:sz w:val="20"/>
        </w:rPr>
        <w:t>Os saldos médios das operações de que tratam a alínea “a” do item 7, a alínea “a” do item 7-A e a alínea “a” do item 7-B</w:t>
      </w:r>
      <w:r w:rsidRPr="00784BCB">
        <w:rPr>
          <w:sz w:val="20"/>
        </w:rPr>
        <w:t>: (Res CMN 4.9</w:t>
      </w:r>
      <w:r w:rsidR="00F10DCC" w:rsidRPr="00784BCB">
        <w:rPr>
          <w:sz w:val="20"/>
        </w:rPr>
        <w:t>17</w:t>
      </w:r>
      <w:r w:rsidRPr="00784BCB">
        <w:rPr>
          <w:sz w:val="20"/>
        </w:rPr>
        <w:t xml:space="preserve"> art. 1º</w:t>
      </w:r>
      <w:r w:rsidR="00F25A38" w:rsidRPr="00784BCB">
        <w:rPr>
          <w:sz w:val="20"/>
        </w:rPr>
        <w:t>; Res CMN 5.0</w:t>
      </w:r>
      <w:r w:rsidR="007F4C17" w:rsidRPr="00784BCB">
        <w:rPr>
          <w:sz w:val="20"/>
        </w:rPr>
        <w:t>87</w:t>
      </w:r>
      <w:r w:rsidR="00F25A38" w:rsidRPr="00784BCB">
        <w:rPr>
          <w:sz w:val="20"/>
        </w:rPr>
        <w:t xml:space="preserve"> </w:t>
      </w:r>
      <w:proofErr w:type="spellStart"/>
      <w:r w:rsidR="00F25A38" w:rsidRPr="00784BCB">
        <w:rPr>
          <w:sz w:val="20"/>
        </w:rPr>
        <w:t>art</w:t>
      </w:r>
      <w:proofErr w:type="spellEnd"/>
      <w:r w:rsidR="00F25A38" w:rsidRPr="00784BCB">
        <w:rPr>
          <w:sz w:val="20"/>
        </w:rPr>
        <w:t xml:space="preserve"> </w:t>
      </w:r>
      <w:r w:rsidR="007F4C17" w:rsidRPr="00784BCB">
        <w:rPr>
          <w:sz w:val="20"/>
        </w:rPr>
        <w:t>4</w:t>
      </w:r>
      <w:r w:rsidR="00F25A38" w:rsidRPr="00784BCB">
        <w:rPr>
          <w:sz w:val="20"/>
        </w:rPr>
        <w:t>º</w:t>
      </w:r>
      <w:r w:rsidRPr="00784BCB">
        <w:rPr>
          <w:sz w:val="20"/>
        </w:rPr>
        <w:t>)</w:t>
      </w:r>
      <w:r w:rsidR="007F4C17" w:rsidRPr="00784BCB">
        <w:rPr>
          <w:sz w:val="20"/>
        </w:rPr>
        <w:tab/>
        <w:t>(*)</w:t>
      </w:r>
    </w:p>
    <w:p w14:paraId="4F548B49" w14:textId="3054D042" w:rsidR="004128B3" w:rsidRPr="008643CE" w:rsidRDefault="004128B3" w:rsidP="004128B3">
      <w:pPr>
        <w:tabs>
          <w:tab w:val="clear" w:pos="1418"/>
          <w:tab w:val="right" w:pos="9923"/>
        </w:tabs>
        <w:ind w:left="568" w:hanging="284"/>
        <w:rPr>
          <w:sz w:val="20"/>
        </w:rPr>
      </w:pPr>
      <w:r w:rsidRPr="008643CE">
        <w:rPr>
          <w:sz w:val="20"/>
        </w:rPr>
        <w:t>a) não poderão exceder a 3,6% (três inteiros e seis décimos por cento) da exigibilidade total apurada na forma do MCR 6-2;</w:t>
      </w:r>
      <w:r w:rsidR="00F25A38" w:rsidRPr="008643CE">
        <w:rPr>
          <w:sz w:val="20"/>
        </w:rPr>
        <w:t xml:space="preserve"> (Res CMN 4.917 </w:t>
      </w:r>
      <w:proofErr w:type="spellStart"/>
      <w:r w:rsidR="00F25A38" w:rsidRPr="008643CE">
        <w:rPr>
          <w:sz w:val="20"/>
        </w:rPr>
        <w:t>art</w:t>
      </w:r>
      <w:proofErr w:type="spellEnd"/>
      <w:r w:rsidR="00F25A38" w:rsidRPr="008643CE">
        <w:rPr>
          <w:sz w:val="20"/>
        </w:rPr>
        <w:t xml:space="preserve"> 1º)</w:t>
      </w:r>
    </w:p>
    <w:p w14:paraId="797061A2" w14:textId="6F9132C0" w:rsidR="004128B3" w:rsidRPr="008643CE" w:rsidRDefault="004128B3" w:rsidP="004128B3">
      <w:pPr>
        <w:tabs>
          <w:tab w:val="clear" w:pos="1418"/>
          <w:tab w:val="right" w:pos="9923"/>
        </w:tabs>
        <w:ind w:left="568" w:hanging="284"/>
        <w:rPr>
          <w:sz w:val="20"/>
        </w:rPr>
      </w:pPr>
      <w:r w:rsidRPr="008643CE">
        <w:rPr>
          <w:sz w:val="20"/>
        </w:rPr>
        <w:t>b) podem ser computados para o cumprimento da exigibilidade de que trata o MCR 6-2 até sua liquidação; e</w:t>
      </w:r>
      <w:r w:rsidR="00F25A38" w:rsidRPr="008643CE">
        <w:rPr>
          <w:sz w:val="20"/>
        </w:rPr>
        <w:t xml:space="preserve"> (Res CMN 4.917 </w:t>
      </w:r>
      <w:proofErr w:type="spellStart"/>
      <w:r w:rsidR="00F25A38" w:rsidRPr="008643CE">
        <w:rPr>
          <w:sz w:val="20"/>
        </w:rPr>
        <w:t>art</w:t>
      </w:r>
      <w:proofErr w:type="spellEnd"/>
      <w:r w:rsidR="00F25A38" w:rsidRPr="008643CE">
        <w:rPr>
          <w:sz w:val="20"/>
        </w:rPr>
        <w:t xml:space="preserve"> 1º)</w:t>
      </w:r>
    </w:p>
    <w:p w14:paraId="675E7631" w14:textId="05A394D4" w:rsidR="004128B3" w:rsidRPr="008643CE" w:rsidRDefault="004128B3" w:rsidP="004128B3">
      <w:pPr>
        <w:tabs>
          <w:tab w:val="clear" w:pos="1418"/>
          <w:tab w:val="right" w:pos="9923"/>
        </w:tabs>
        <w:ind w:left="568" w:hanging="284"/>
        <w:rPr>
          <w:sz w:val="20"/>
        </w:rPr>
      </w:pPr>
      <w:r w:rsidRPr="008643CE">
        <w:rPr>
          <w:sz w:val="20"/>
        </w:rPr>
        <w:t xml:space="preserve">c) não podem ser computados para o cumprimento das </w:t>
      </w:r>
      <w:proofErr w:type="spellStart"/>
      <w:r w:rsidRPr="008643CE">
        <w:rPr>
          <w:sz w:val="20"/>
        </w:rPr>
        <w:t>subexigibilidades</w:t>
      </w:r>
      <w:proofErr w:type="spellEnd"/>
      <w:r w:rsidRPr="008643CE">
        <w:rPr>
          <w:sz w:val="20"/>
        </w:rPr>
        <w:t xml:space="preserve"> </w:t>
      </w:r>
      <w:proofErr w:type="spellStart"/>
      <w:r w:rsidRPr="008643CE">
        <w:rPr>
          <w:sz w:val="20"/>
        </w:rPr>
        <w:t>Pronamp</w:t>
      </w:r>
      <w:proofErr w:type="spellEnd"/>
      <w:r w:rsidRPr="008643CE">
        <w:rPr>
          <w:sz w:val="20"/>
        </w:rPr>
        <w:t xml:space="preserve"> e Pronaf, de que tratam o MCR 6-2-8 e 6-2-10, respectivamente.</w:t>
      </w:r>
      <w:r w:rsidR="00F25A38" w:rsidRPr="008643CE">
        <w:rPr>
          <w:sz w:val="20"/>
        </w:rPr>
        <w:t xml:space="preserve"> (Res CMN 4.917 </w:t>
      </w:r>
      <w:proofErr w:type="spellStart"/>
      <w:r w:rsidR="00F25A38" w:rsidRPr="008643CE">
        <w:rPr>
          <w:sz w:val="20"/>
        </w:rPr>
        <w:t>art</w:t>
      </w:r>
      <w:proofErr w:type="spellEnd"/>
      <w:r w:rsidR="00F25A38" w:rsidRPr="008643CE">
        <w:rPr>
          <w:sz w:val="20"/>
        </w:rPr>
        <w:t xml:space="preserve"> 1º)</w:t>
      </w:r>
    </w:p>
    <w:p w14:paraId="2DE916D6" w14:textId="6AFA42FF" w:rsidR="004128B3" w:rsidRPr="008643CE" w:rsidRDefault="004128B3" w:rsidP="00230DA0">
      <w:pPr>
        <w:tabs>
          <w:tab w:val="clear" w:pos="1418"/>
          <w:tab w:val="right" w:pos="9923"/>
        </w:tabs>
        <w:spacing w:before="120"/>
        <w:ind w:left="284" w:hanging="284"/>
        <w:rPr>
          <w:sz w:val="20"/>
        </w:rPr>
      </w:pPr>
      <w:r w:rsidRPr="00784BCB">
        <w:rPr>
          <w:sz w:val="20"/>
        </w:rPr>
        <w:t xml:space="preserve">9 - </w:t>
      </w:r>
      <w:r w:rsidR="007F4C17" w:rsidRPr="00784BCB">
        <w:rPr>
          <w:sz w:val="20"/>
        </w:rPr>
        <w:t>Os saldos médios das operações de que tratam a alínea “b” do item 7, a alínea “b” do item 7-A e a alínea “b” do item 7-B</w:t>
      </w:r>
      <w:r w:rsidRPr="00784BCB">
        <w:rPr>
          <w:sz w:val="20"/>
        </w:rPr>
        <w:t>: (Res CMN 4.9</w:t>
      </w:r>
      <w:r w:rsidR="00F10DCC" w:rsidRPr="00784BCB">
        <w:rPr>
          <w:sz w:val="20"/>
        </w:rPr>
        <w:t>17</w:t>
      </w:r>
      <w:r w:rsidRPr="00784BCB">
        <w:rPr>
          <w:sz w:val="20"/>
        </w:rPr>
        <w:t xml:space="preserve"> art. 1º</w:t>
      </w:r>
      <w:r w:rsidR="00F25A38" w:rsidRPr="00784BCB">
        <w:rPr>
          <w:sz w:val="20"/>
        </w:rPr>
        <w:t>; Res CMN 5.0</w:t>
      </w:r>
      <w:r w:rsidR="007F4C17" w:rsidRPr="00784BCB">
        <w:rPr>
          <w:sz w:val="20"/>
        </w:rPr>
        <w:t xml:space="preserve">87 </w:t>
      </w:r>
      <w:proofErr w:type="spellStart"/>
      <w:r w:rsidR="00F25A38" w:rsidRPr="00784BCB">
        <w:rPr>
          <w:sz w:val="20"/>
        </w:rPr>
        <w:t>art</w:t>
      </w:r>
      <w:proofErr w:type="spellEnd"/>
      <w:r w:rsidR="00F25A38" w:rsidRPr="00784BCB">
        <w:rPr>
          <w:sz w:val="20"/>
        </w:rPr>
        <w:t xml:space="preserve"> </w:t>
      </w:r>
      <w:r w:rsidR="007F4C17" w:rsidRPr="00784BCB">
        <w:rPr>
          <w:sz w:val="20"/>
        </w:rPr>
        <w:t>4</w:t>
      </w:r>
      <w:r w:rsidR="00F25A38" w:rsidRPr="00784BCB">
        <w:rPr>
          <w:sz w:val="20"/>
        </w:rPr>
        <w:t>º</w:t>
      </w:r>
      <w:r w:rsidRPr="00784BCB">
        <w:rPr>
          <w:sz w:val="20"/>
        </w:rPr>
        <w:t>)</w:t>
      </w:r>
      <w:r w:rsidR="007F4C17" w:rsidRPr="00784BCB">
        <w:rPr>
          <w:sz w:val="20"/>
        </w:rPr>
        <w:tab/>
        <w:t>(*)</w:t>
      </w:r>
    </w:p>
    <w:p w14:paraId="621DCBD5" w14:textId="4AB7BB91" w:rsidR="004128B3" w:rsidRPr="008643CE" w:rsidRDefault="004128B3" w:rsidP="004128B3">
      <w:pPr>
        <w:tabs>
          <w:tab w:val="clear" w:pos="1418"/>
          <w:tab w:val="right" w:pos="9923"/>
        </w:tabs>
        <w:ind w:left="568" w:hanging="284"/>
        <w:rPr>
          <w:sz w:val="20"/>
        </w:rPr>
      </w:pPr>
      <w:r w:rsidRPr="008643CE">
        <w:rPr>
          <w:sz w:val="20"/>
        </w:rPr>
        <w:t>a) não poderão exceder a 2,4% (dois inteiros e quatro décimos por cento) da exigibilidade total apurada na forma do MCR 6-2;</w:t>
      </w:r>
      <w:r w:rsidR="00F25A38" w:rsidRPr="008643CE">
        <w:rPr>
          <w:sz w:val="20"/>
        </w:rPr>
        <w:t xml:space="preserve"> (Res CMN 4.917 </w:t>
      </w:r>
      <w:proofErr w:type="spellStart"/>
      <w:r w:rsidR="00F25A38" w:rsidRPr="008643CE">
        <w:rPr>
          <w:sz w:val="20"/>
        </w:rPr>
        <w:t>art</w:t>
      </w:r>
      <w:proofErr w:type="spellEnd"/>
      <w:r w:rsidR="00F25A38" w:rsidRPr="008643CE">
        <w:rPr>
          <w:sz w:val="20"/>
        </w:rPr>
        <w:t xml:space="preserve"> 1º)</w:t>
      </w:r>
    </w:p>
    <w:p w14:paraId="2C219E25" w14:textId="0B507B7B" w:rsidR="004128B3" w:rsidRPr="008643CE" w:rsidRDefault="004128B3" w:rsidP="004128B3">
      <w:pPr>
        <w:tabs>
          <w:tab w:val="clear" w:pos="1418"/>
          <w:tab w:val="right" w:pos="9923"/>
        </w:tabs>
        <w:ind w:left="568" w:hanging="284"/>
        <w:rPr>
          <w:sz w:val="20"/>
        </w:rPr>
      </w:pPr>
      <w:r w:rsidRPr="008643CE">
        <w:rPr>
          <w:sz w:val="20"/>
        </w:rPr>
        <w:t>b) podem ser computados para o cumprimento da exigibilidade de que trata o MCR 6-2 até sua liquidação; e</w:t>
      </w:r>
      <w:r w:rsidR="005A6686">
        <w:rPr>
          <w:sz w:val="20"/>
        </w:rPr>
        <w:t xml:space="preserve"> </w:t>
      </w:r>
      <w:r w:rsidR="005A6686" w:rsidRPr="008643CE">
        <w:rPr>
          <w:sz w:val="20"/>
        </w:rPr>
        <w:t xml:space="preserve">(Res CMN 4.917 </w:t>
      </w:r>
      <w:proofErr w:type="spellStart"/>
      <w:r w:rsidR="005A6686" w:rsidRPr="008643CE">
        <w:rPr>
          <w:sz w:val="20"/>
        </w:rPr>
        <w:t>art</w:t>
      </w:r>
      <w:proofErr w:type="spellEnd"/>
      <w:r w:rsidR="005A6686" w:rsidRPr="008643CE">
        <w:rPr>
          <w:sz w:val="20"/>
        </w:rPr>
        <w:t xml:space="preserve"> 1º)</w:t>
      </w:r>
    </w:p>
    <w:p w14:paraId="55ACA1C2" w14:textId="09959668" w:rsidR="004128B3" w:rsidRPr="008643CE" w:rsidRDefault="004128B3" w:rsidP="007F4AC6">
      <w:pPr>
        <w:tabs>
          <w:tab w:val="clear" w:pos="1418"/>
          <w:tab w:val="right" w:pos="9923"/>
        </w:tabs>
        <w:ind w:left="568" w:hanging="284"/>
        <w:rPr>
          <w:sz w:val="20"/>
        </w:rPr>
      </w:pPr>
      <w:r w:rsidRPr="008643CE">
        <w:rPr>
          <w:sz w:val="20"/>
        </w:rPr>
        <w:t xml:space="preserve">c) não podem ser computados para o cumprimento das </w:t>
      </w:r>
      <w:proofErr w:type="spellStart"/>
      <w:r w:rsidRPr="008643CE">
        <w:rPr>
          <w:sz w:val="20"/>
        </w:rPr>
        <w:t>subexigibilidades</w:t>
      </w:r>
      <w:proofErr w:type="spellEnd"/>
      <w:r w:rsidRPr="008643CE">
        <w:rPr>
          <w:sz w:val="20"/>
        </w:rPr>
        <w:t xml:space="preserve"> </w:t>
      </w:r>
      <w:proofErr w:type="spellStart"/>
      <w:r w:rsidRPr="008643CE">
        <w:rPr>
          <w:sz w:val="20"/>
        </w:rPr>
        <w:t>Pronamp</w:t>
      </w:r>
      <w:proofErr w:type="spellEnd"/>
      <w:r w:rsidRPr="008643CE">
        <w:rPr>
          <w:sz w:val="20"/>
        </w:rPr>
        <w:t xml:space="preserve"> e Pronaf, de que tratam o MCR 6-2-8 e 6-2-10, respectivamente.</w:t>
      </w:r>
      <w:r w:rsidR="00F25A38" w:rsidRPr="008643CE">
        <w:rPr>
          <w:sz w:val="20"/>
        </w:rPr>
        <w:t xml:space="preserve"> (Res CMN 4.917 </w:t>
      </w:r>
      <w:proofErr w:type="spellStart"/>
      <w:r w:rsidR="00F25A38" w:rsidRPr="008643CE">
        <w:rPr>
          <w:sz w:val="20"/>
        </w:rPr>
        <w:t>art</w:t>
      </w:r>
      <w:proofErr w:type="spellEnd"/>
      <w:r w:rsidR="0079133A" w:rsidRPr="008643CE">
        <w:rPr>
          <w:sz w:val="20"/>
        </w:rPr>
        <w:t xml:space="preserve"> </w:t>
      </w:r>
      <w:r w:rsidR="00F25A38" w:rsidRPr="008643CE">
        <w:rPr>
          <w:sz w:val="20"/>
        </w:rPr>
        <w:t>1º)</w:t>
      </w:r>
    </w:p>
    <w:p w14:paraId="52AFDEDD" w14:textId="3C7F0409" w:rsidR="007F4AC6" w:rsidRPr="008643CE" w:rsidRDefault="007F4AC6" w:rsidP="007F4AC6">
      <w:pPr>
        <w:tabs>
          <w:tab w:val="right" w:pos="9923"/>
          <w:tab w:val="right" w:pos="10064"/>
        </w:tabs>
        <w:spacing w:before="120" w:after="120"/>
        <w:ind w:left="284" w:hanging="284"/>
        <w:rPr>
          <w:sz w:val="20"/>
        </w:rPr>
      </w:pPr>
      <w:r w:rsidRPr="008643CE">
        <w:rPr>
          <w:sz w:val="20"/>
        </w:rPr>
        <w:t>10 - As instituições financeiras de que trata o MCR 6-2-7 ficam sujeitas à exigibilidade adicional de aplicação em crédito rural dos recursos à vista para o período de cumprimento de 1º</w:t>
      </w:r>
      <w:r w:rsidR="008643CE" w:rsidRPr="008643CE">
        <w:rPr>
          <w:sz w:val="20"/>
        </w:rPr>
        <w:t>/7/</w:t>
      </w:r>
      <w:r w:rsidRPr="008643CE">
        <w:rPr>
          <w:sz w:val="20"/>
        </w:rPr>
        <w:t>2022 a 30</w:t>
      </w:r>
      <w:r w:rsidR="008643CE" w:rsidRPr="008643CE">
        <w:rPr>
          <w:sz w:val="20"/>
        </w:rPr>
        <w:t>/6/</w:t>
      </w:r>
      <w:r w:rsidRPr="008643CE">
        <w:rPr>
          <w:sz w:val="20"/>
        </w:rPr>
        <w:t>2023, observado o disposto nos itens 11 a 15.</w:t>
      </w:r>
      <w:r w:rsidR="008D7312" w:rsidRPr="008643CE">
        <w:rPr>
          <w:sz w:val="20"/>
        </w:rPr>
        <w:t xml:space="preserve"> (Res CMN 5.030 </w:t>
      </w:r>
      <w:proofErr w:type="spellStart"/>
      <w:r w:rsidR="008D7312" w:rsidRPr="008643CE">
        <w:rPr>
          <w:sz w:val="20"/>
        </w:rPr>
        <w:t>art</w:t>
      </w:r>
      <w:proofErr w:type="spellEnd"/>
      <w:r w:rsidR="008D7312" w:rsidRPr="008643CE">
        <w:rPr>
          <w:sz w:val="20"/>
        </w:rPr>
        <w:t xml:space="preserve"> 2º)</w:t>
      </w:r>
    </w:p>
    <w:p w14:paraId="4005AE02" w14:textId="0ABAC98C" w:rsidR="007F4AC6" w:rsidRPr="008643CE" w:rsidRDefault="007F4AC6" w:rsidP="007F4AC6">
      <w:pPr>
        <w:tabs>
          <w:tab w:val="clear" w:pos="1418"/>
          <w:tab w:val="right" w:pos="9923"/>
        </w:tabs>
        <w:ind w:left="284" w:hanging="284"/>
        <w:rPr>
          <w:sz w:val="20"/>
        </w:rPr>
      </w:pPr>
      <w:r w:rsidRPr="008643CE">
        <w:rPr>
          <w:sz w:val="20"/>
        </w:rPr>
        <w:t>11 - A exigibilidade adicional referida no item 10 é o dever que tem a instituição financeira de manter aplicado em operações de custeio rural ao amparo do MCR 3-2, o valor correspondente a 1,5% (um inteiro e cinco décimos por cento) do valor apurado na forma do MCR 6-2-2, observadas as seguintes condições:</w:t>
      </w:r>
      <w:r w:rsidR="008D7312" w:rsidRPr="008643CE">
        <w:rPr>
          <w:sz w:val="20"/>
        </w:rPr>
        <w:t xml:space="preserve"> (Res CMN 5.030 </w:t>
      </w:r>
      <w:proofErr w:type="spellStart"/>
      <w:r w:rsidR="008D7312" w:rsidRPr="008643CE">
        <w:rPr>
          <w:sz w:val="20"/>
        </w:rPr>
        <w:t>art</w:t>
      </w:r>
      <w:proofErr w:type="spellEnd"/>
      <w:r w:rsidR="008D7312" w:rsidRPr="008643CE">
        <w:rPr>
          <w:sz w:val="20"/>
        </w:rPr>
        <w:t xml:space="preserve"> 2º)</w:t>
      </w:r>
    </w:p>
    <w:p w14:paraId="34F167E1" w14:textId="0AC25144" w:rsidR="007F4AC6" w:rsidRPr="008643CE" w:rsidRDefault="007F4AC6" w:rsidP="007F4AC6">
      <w:pPr>
        <w:tabs>
          <w:tab w:val="clear" w:pos="1418"/>
          <w:tab w:val="right" w:pos="9923"/>
        </w:tabs>
        <w:ind w:left="568" w:hanging="284"/>
        <w:rPr>
          <w:sz w:val="20"/>
        </w:rPr>
      </w:pPr>
      <w:r w:rsidRPr="008643CE">
        <w:rPr>
          <w:sz w:val="20"/>
        </w:rPr>
        <w:t>a) os financiamentos devem ser contratados entre 1º</w:t>
      </w:r>
      <w:r w:rsidR="008643CE" w:rsidRPr="008643CE">
        <w:rPr>
          <w:sz w:val="20"/>
        </w:rPr>
        <w:t>/7/</w:t>
      </w:r>
      <w:r w:rsidRPr="008643CE">
        <w:rPr>
          <w:sz w:val="20"/>
        </w:rPr>
        <w:t>2022 e 30</w:t>
      </w:r>
      <w:r w:rsidR="008643CE" w:rsidRPr="008643CE">
        <w:rPr>
          <w:sz w:val="20"/>
        </w:rPr>
        <w:t>/6/</w:t>
      </w:r>
      <w:r w:rsidRPr="008643CE">
        <w:rPr>
          <w:sz w:val="20"/>
        </w:rPr>
        <w:t>2023;</w:t>
      </w:r>
    </w:p>
    <w:p w14:paraId="2C2B04D2" w14:textId="77777777" w:rsidR="007F4AC6" w:rsidRPr="008643CE" w:rsidRDefault="007F4AC6" w:rsidP="007F4AC6">
      <w:pPr>
        <w:tabs>
          <w:tab w:val="clear" w:pos="1418"/>
          <w:tab w:val="right" w:pos="9923"/>
        </w:tabs>
        <w:ind w:left="568" w:hanging="284"/>
        <w:rPr>
          <w:sz w:val="20"/>
        </w:rPr>
      </w:pPr>
      <w:r w:rsidRPr="008643CE">
        <w:rPr>
          <w:sz w:val="20"/>
        </w:rPr>
        <w:t>b) os financiamentos devem observar os limites estabelecidos na Tabela 2 do MCR 7-1 para Créditos de Custeio, bem como demais condições estabelecidas no MCR 3-2; e</w:t>
      </w:r>
    </w:p>
    <w:p w14:paraId="0964BD37" w14:textId="77777777" w:rsidR="007F4AC6" w:rsidRPr="008643CE" w:rsidRDefault="007F4AC6" w:rsidP="007F4AC6">
      <w:pPr>
        <w:tabs>
          <w:tab w:val="clear" w:pos="1418"/>
          <w:tab w:val="right" w:pos="9923"/>
        </w:tabs>
        <w:ind w:left="568" w:hanging="284"/>
        <w:rPr>
          <w:sz w:val="20"/>
        </w:rPr>
      </w:pPr>
      <w:r w:rsidRPr="008643CE">
        <w:rPr>
          <w:sz w:val="20"/>
        </w:rPr>
        <w:t>c) os financiamentos estão sujeitos a encargos financeiros livremente pactuados entre as partes.</w:t>
      </w:r>
    </w:p>
    <w:p w14:paraId="78BBA10C" w14:textId="76E08CAF" w:rsidR="007F4AC6" w:rsidRPr="008643CE" w:rsidRDefault="007F4AC6" w:rsidP="008D7312">
      <w:pPr>
        <w:tabs>
          <w:tab w:val="right" w:pos="9923"/>
          <w:tab w:val="right" w:pos="10064"/>
        </w:tabs>
        <w:spacing w:before="120"/>
        <w:ind w:left="284" w:hanging="284"/>
        <w:rPr>
          <w:sz w:val="20"/>
        </w:rPr>
      </w:pPr>
      <w:r w:rsidRPr="008643CE">
        <w:rPr>
          <w:sz w:val="20"/>
        </w:rPr>
        <w:t>12 - No cumprimento da exigibilidade adicional referida no item 10, as instituições financeiras devem observar as seguintes condições:</w:t>
      </w:r>
      <w:r w:rsidR="008D7312" w:rsidRPr="008643CE">
        <w:rPr>
          <w:sz w:val="20"/>
        </w:rPr>
        <w:t xml:space="preserve"> (Res CMN 5.030 </w:t>
      </w:r>
      <w:proofErr w:type="spellStart"/>
      <w:r w:rsidR="008D7312" w:rsidRPr="008643CE">
        <w:rPr>
          <w:sz w:val="20"/>
        </w:rPr>
        <w:t>art</w:t>
      </w:r>
      <w:proofErr w:type="spellEnd"/>
      <w:r w:rsidR="008D7312" w:rsidRPr="008643CE">
        <w:rPr>
          <w:sz w:val="20"/>
        </w:rPr>
        <w:t xml:space="preserve"> 2º)</w:t>
      </w:r>
    </w:p>
    <w:p w14:paraId="511E40CB" w14:textId="77777777" w:rsidR="007F4AC6" w:rsidRPr="008643CE" w:rsidRDefault="007F4AC6" w:rsidP="007F4AC6">
      <w:pPr>
        <w:tabs>
          <w:tab w:val="clear" w:pos="1418"/>
          <w:tab w:val="right" w:pos="9923"/>
        </w:tabs>
        <w:ind w:left="568" w:hanging="284"/>
        <w:rPr>
          <w:sz w:val="20"/>
        </w:rPr>
      </w:pPr>
      <w:r w:rsidRPr="008643CE">
        <w:rPr>
          <w:sz w:val="20"/>
        </w:rPr>
        <w:t>a) o período de cumprimento:</w:t>
      </w:r>
    </w:p>
    <w:p w14:paraId="10A89A45" w14:textId="77777777" w:rsidR="007F4AC6" w:rsidRPr="008643CE" w:rsidRDefault="007F4AC6" w:rsidP="007F4AC6">
      <w:pPr>
        <w:tabs>
          <w:tab w:val="clear" w:pos="1418"/>
        </w:tabs>
        <w:ind w:left="851" w:right="-1" w:hanging="284"/>
        <w:rPr>
          <w:sz w:val="20"/>
        </w:rPr>
      </w:pPr>
      <w:r w:rsidRPr="008643CE">
        <w:rPr>
          <w:sz w:val="20"/>
        </w:rPr>
        <w:t xml:space="preserve">I - </w:t>
      </w:r>
      <w:proofErr w:type="gramStart"/>
      <w:r w:rsidRPr="008643CE">
        <w:rPr>
          <w:sz w:val="20"/>
        </w:rPr>
        <w:t>inicia-se</w:t>
      </w:r>
      <w:proofErr w:type="gramEnd"/>
      <w:r w:rsidRPr="008643CE">
        <w:rPr>
          <w:sz w:val="20"/>
        </w:rPr>
        <w:t xml:space="preserve"> no primeiro dia </w:t>
      </w:r>
      <w:r w:rsidRPr="008643CE">
        <w:rPr>
          <w:rFonts w:eastAsia="PMingLiU"/>
          <w:sz w:val="20"/>
        </w:rPr>
        <w:t>útil</w:t>
      </w:r>
      <w:r w:rsidRPr="008643CE">
        <w:rPr>
          <w:sz w:val="20"/>
        </w:rPr>
        <w:t xml:space="preserve"> do mês de julho de 2022; e</w:t>
      </w:r>
    </w:p>
    <w:p w14:paraId="2F32F979" w14:textId="77777777" w:rsidR="007F4AC6" w:rsidRPr="008643CE" w:rsidRDefault="007F4AC6" w:rsidP="007F4AC6">
      <w:pPr>
        <w:tabs>
          <w:tab w:val="clear" w:pos="1418"/>
        </w:tabs>
        <w:ind w:left="851" w:right="-1" w:hanging="284"/>
        <w:rPr>
          <w:sz w:val="20"/>
        </w:rPr>
      </w:pPr>
      <w:r w:rsidRPr="008643CE">
        <w:rPr>
          <w:sz w:val="20"/>
        </w:rPr>
        <w:t xml:space="preserve">II - </w:t>
      </w:r>
      <w:proofErr w:type="gramStart"/>
      <w:r w:rsidRPr="008643CE">
        <w:rPr>
          <w:sz w:val="20"/>
        </w:rPr>
        <w:t>encerra-se</w:t>
      </w:r>
      <w:proofErr w:type="gramEnd"/>
      <w:r w:rsidRPr="008643CE">
        <w:rPr>
          <w:sz w:val="20"/>
        </w:rPr>
        <w:t xml:space="preserve"> no último dia </w:t>
      </w:r>
      <w:r w:rsidRPr="008643CE">
        <w:rPr>
          <w:rFonts w:eastAsia="PMingLiU"/>
          <w:sz w:val="20"/>
        </w:rPr>
        <w:t>útil</w:t>
      </w:r>
      <w:r w:rsidRPr="008643CE">
        <w:rPr>
          <w:sz w:val="20"/>
        </w:rPr>
        <w:t xml:space="preserve"> do mês de junho de 2023;</w:t>
      </w:r>
    </w:p>
    <w:p w14:paraId="51995778" w14:textId="77777777" w:rsidR="007F4AC6" w:rsidRPr="008643CE" w:rsidRDefault="007F4AC6" w:rsidP="007F4AC6">
      <w:pPr>
        <w:tabs>
          <w:tab w:val="clear" w:pos="1418"/>
          <w:tab w:val="right" w:pos="9923"/>
        </w:tabs>
        <w:ind w:left="568" w:hanging="284"/>
        <w:rPr>
          <w:sz w:val="20"/>
        </w:rPr>
      </w:pPr>
      <w:r w:rsidRPr="008643CE">
        <w:rPr>
          <w:sz w:val="20"/>
        </w:rPr>
        <w:t>b) as instituições financeiras que apresentarem exigibilidade adicional igual ou inferior a R$10.000.000,00 (dez milhões de reais) ficam isentas do cumprimento dessa exigência;</w:t>
      </w:r>
    </w:p>
    <w:p w14:paraId="02BD7F7F" w14:textId="77777777" w:rsidR="007F4AC6" w:rsidRPr="008643CE" w:rsidRDefault="007F4AC6" w:rsidP="007F4AC6">
      <w:pPr>
        <w:tabs>
          <w:tab w:val="clear" w:pos="1418"/>
          <w:tab w:val="right" w:pos="9923"/>
        </w:tabs>
        <w:ind w:left="568" w:hanging="284"/>
        <w:rPr>
          <w:sz w:val="20"/>
        </w:rPr>
      </w:pPr>
      <w:r w:rsidRPr="008643CE">
        <w:rPr>
          <w:sz w:val="20"/>
        </w:rPr>
        <w:t>c) as instituições devem editar, validar e enviar as informações relativas ao cumprimento da exigibilidade adicional nos termos do MCR - Documento 6;</w:t>
      </w:r>
    </w:p>
    <w:p w14:paraId="3AD0EA01" w14:textId="77777777" w:rsidR="007F4AC6" w:rsidRPr="008643CE" w:rsidRDefault="007F4AC6" w:rsidP="007F4AC6">
      <w:pPr>
        <w:tabs>
          <w:tab w:val="clear" w:pos="1418"/>
          <w:tab w:val="right" w:pos="9923"/>
        </w:tabs>
        <w:ind w:left="568" w:hanging="284"/>
        <w:rPr>
          <w:sz w:val="20"/>
        </w:rPr>
      </w:pPr>
      <w:r w:rsidRPr="008643CE">
        <w:rPr>
          <w:sz w:val="20"/>
        </w:rPr>
        <w:t>d) as instituições financeiras que incorrerem em deficiência de aplicação devem observar as disposições do MCR 6-5 aplicáveis à exigibilidade dos Recursos Obrigatórios (MCR 6-2); e</w:t>
      </w:r>
    </w:p>
    <w:p w14:paraId="7BADEB0C" w14:textId="7F362791" w:rsidR="007F4AC6" w:rsidRPr="008643CE" w:rsidRDefault="007F4AC6" w:rsidP="007F4AC6">
      <w:pPr>
        <w:tabs>
          <w:tab w:val="clear" w:pos="1418"/>
          <w:tab w:val="right" w:pos="9923"/>
        </w:tabs>
        <w:ind w:left="568" w:hanging="284"/>
        <w:rPr>
          <w:sz w:val="20"/>
        </w:rPr>
      </w:pPr>
      <w:r w:rsidRPr="008643CE">
        <w:rPr>
          <w:sz w:val="20"/>
        </w:rPr>
        <w:t>e) a verificação do cumprimento, a cargo do Banco Central do Brasil, deve ser efetivada a partir de 20</w:t>
      </w:r>
      <w:r w:rsidR="008643CE" w:rsidRPr="008643CE">
        <w:rPr>
          <w:sz w:val="20"/>
        </w:rPr>
        <w:t>/7/</w:t>
      </w:r>
      <w:r w:rsidRPr="008643CE">
        <w:rPr>
          <w:sz w:val="20"/>
        </w:rPr>
        <w:t>2023, sem prejuízo das ações emanadas da área de fiscalização.</w:t>
      </w:r>
    </w:p>
    <w:p w14:paraId="5A1F3587" w14:textId="7C8208BD" w:rsidR="007F4AC6" w:rsidRPr="008643CE" w:rsidRDefault="007F4AC6" w:rsidP="007F4AC6">
      <w:pPr>
        <w:tabs>
          <w:tab w:val="right" w:pos="9923"/>
          <w:tab w:val="right" w:pos="10064"/>
        </w:tabs>
        <w:spacing w:before="120" w:after="120"/>
        <w:ind w:left="284" w:hanging="284"/>
        <w:rPr>
          <w:sz w:val="20"/>
        </w:rPr>
      </w:pPr>
      <w:r w:rsidRPr="00784BCB">
        <w:rPr>
          <w:sz w:val="20"/>
        </w:rPr>
        <w:t xml:space="preserve">13 - </w:t>
      </w:r>
      <w:r w:rsidR="007F4C17" w:rsidRPr="00784BCB">
        <w:rPr>
          <w:sz w:val="20"/>
        </w:rPr>
        <w:t>Os saldos das operações contratadas para cumprimento da exigibilidade adicional referida no item 11 poderão ser reclassificados para cumprimento da exigibilidade adicional referida no item 16, a partir do período de cumprimento que se inicia em 3/7/2023</w:t>
      </w:r>
      <w:r w:rsidRPr="00784BCB">
        <w:rPr>
          <w:sz w:val="20"/>
        </w:rPr>
        <w:t>.</w:t>
      </w:r>
      <w:r w:rsidR="008D7312" w:rsidRPr="00784BCB">
        <w:rPr>
          <w:sz w:val="20"/>
        </w:rPr>
        <w:t xml:space="preserve"> (Res CMN 5.0</w:t>
      </w:r>
      <w:r w:rsidR="007F4C17" w:rsidRPr="00784BCB">
        <w:rPr>
          <w:sz w:val="20"/>
        </w:rPr>
        <w:t>87</w:t>
      </w:r>
      <w:r w:rsidR="008D7312" w:rsidRPr="00784BCB">
        <w:rPr>
          <w:sz w:val="20"/>
        </w:rPr>
        <w:t xml:space="preserve"> </w:t>
      </w:r>
      <w:proofErr w:type="spellStart"/>
      <w:r w:rsidR="008D7312" w:rsidRPr="00784BCB">
        <w:rPr>
          <w:sz w:val="20"/>
        </w:rPr>
        <w:t>art</w:t>
      </w:r>
      <w:proofErr w:type="spellEnd"/>
      <w:r w:rsidR="008D7312" w:rsidRPr="00784BCB">
        <w:rPr>
          <w:sz w:val="20"/>
        </w:rPr>
        <w:t xml:space="preserve"> </w:t>
      </w:r>
      <w:r w:rsidR="007F4C17" w:rsidRPr="00784BCB">
        <w:rPr>
          <w:sz w:val="20"/>
        </w:rPr>
        <w:t>4</w:t>
      </w:r>
      <w:r w:rsidR="008D7312" w:rsidRPr="00784BCB">
        <w:rPr>
          <w:sz w:val="20"/>
        </w:rPr>
        <w:t>º)</w:t>
      </w:r>
      <w:r w:rsidR="007F4C17" w:rsidRPr="00784BCB">
        <w:rPr>
          <w:sz w:val="20"/>
        </w:rPr>
        <w:tab/>
        <w:t>(*)</w:t>
      </w:r>
    </w:p>
    <w:p w14:paraId="7A5553C8" w14:textId="38C3FD6B" w:rsidR="007F4AC6" w:rsidRPr="008643CE" w:rsidRDefault="007F4AC6" w:rsidP="008D7312">
      <w:pPr>
        <w:tabs>
          <w:tab w:val="right" w:pos="9923"/>
          <w:tab w:val="right" w:pos="10064"/>
        </w:tabs>
        <w:ind w:left="284" w:hanging="284"/>
        <w:rPr>
          <w:sz w:val="20"/>
        </w:rPr>
      </w:pPr>
      <w:r w:rsidRPr="008643CE">
        <w:rPr>
          <w:sz w:val="20"/>
        </w:rPr>
        <w:t>14 - Admite-se a utilização do DIR-Geral, de que trará o MCR 6-6-2</w:t>
      </w:r>
      <w:proofErr w:type="gramStart"/>
      <w:r w:rsidRPr="008643CE">
        <w:rPr>
          <w:sz w:val="20"/>
        </w:rPr>
        <w:t>-“</w:t>
      </w:r>
      <w:proofErr w:type="gramEnd"/>
      <w:r w:rsidRPr="008643CE">
        <w:rPr>
          <w:sz w:val="20"/>
        </w:rPr>
        <w:t>a”, para cumprimento da exigibilidade adicional referida no item 11, observado que:</w:t>
      </w:r>
      <w:r w:rsidR="008D7312" w:rsidRPr="008643CE">
        <w:rPr>
          <w:sz w:val="20"/>
        </w:rPr>
        <w:t xml:space="preserve"> (Res CMN 5.030 </w:t>
      </w:r>
      <w:proofErr w:type="spellStart"/>
      <w:r w:rsidR="008D7312" w:rsidRPr="008643CE">
        <w:rPr>
          <w:sz w:val="20"/>
        </w:rPr>
        <w:t>art</w:t>
      </w:r>
      <w:proofErr w:type="spellEnd"/>
      <w:r w:rsidR="008D7312" w:rsidRPr="008643CE">
        <w:rPr>
          <w:sz w:val="20"/>
        </w:rPr>
        <w:t xml:space="preserve"> 2º)</w:t>
      </w:r>
    </w:p>
    <w:p w14:paraId="367C1465" w14:textId="55B8975A" w:rsidR="007F4AC6" w:rsidRPr="008643CE" w:rsidRDefault="007F4AC6" w:rsidP="007F4AC6">
      <w:pPr>
        <w:tabs>
          <w:tab w:val="clear" w:pos="1418"/>
          <w:tab w:val="right" w:pos="9923"/>
        </w:tabs>
        <w:ind w:left="568" w:hanging="284"/>
        <w:rPr>
          <w:sz w:val="20"/>
        </w:rPr>
      </w:pPr>
      <w:r w:rsidRPr="008643CE">
        <w:rPr>
          <w:sz w:val="20"/>
        </w:rPr>
        <w:t>a) os depósitos devem ser contratados entre 1º</w:t>
      </w:r>
      <w:r w:rsidR="008643CE" w:rsidRPr="008643CE">
        <w:rPr>
          <w:sz w:val="20"/>
        </w:rPr>
        <w:t>/7/</w:t>
      </w:r>
      <w:r w:rsidRPr="008643CE">
        <w:rPr>
          <w:sz w:val="20"/>
        </w:rPr>
        <w:t>2022 e 30</w:t>
      </w:r>
      <w:r w:rsidR="008643CE" w:rsidRPr="008643CE">
        <w:rPr>
          <w:sz w:val="20"/>
        </w:rPr>
        <w:t>/6/</w:t>
      </w:r>
      <w:r w:rsidRPr="008643CE">
        <w:rPr>
          <w:sz w:val="20"/>
        </w:rPr>
        <w:t>2023;</w:t>
      </w:r>
    </w:p>
    <w:p w14:paraId="51274088" w14:textId="4E5710F8" w:rsidR="007F4AC6" w:rsidRPr="008643CE" w:rsidRDefault="007F4AC6" w:rsidP="007F4AC6">
      <w:pPr>
        <w:tabs>
          <w:tab w:val="clear" w:pos="1418"/>
          <w:tab w:val="right" w:pos="9923"/>
        </w:tabs>
        <w:ind w:left="568" w:hanging="284"/>
        <w:rPr>
          <w:sz w:val="20"/>
        </w:rPr>
      </w:pPr>
      <w:r w:rsidRPr="008643CE">
        <w:rPr>
          <w:sz w:val="20"/>
        </w:rPr>
        <w:t>b) os saldos utilizados para cumprimento da exigibilidade adicional não poderão ser contabilizados para cumprimento da Exigibilidade Geral dos Recursos Obrigatórios no período de cumprimento de 1º</w:t>
      </w:r>
      <w:r w:rsidR="008643CE" w:rsidRPr="008643CE">
        <w:rPr>
          <w:sz w:val="20"/>
        </w:rPr>
        <w:t>/7/</w:t>
      </w:r>
      <w:r w:rsidRPr="008643CE">
        <w:rPr>
          <w:sz w:val="20"/>
        </w:rPr>
        <w:t>2022 a 30</w:t>
      </w:r>
      <w:r w:rsidR="008643CE" w:rsidRPr="008643CE">
        <w:rPr>
          <w:sz w:val="20"/>
        </w:rPr>
        <w:t>/6/</w:t>
      </w:r>
      <w:r w:rsidRPr="008643CE">
        <w:rPr>
          <w:sz w:val="20"/>
        </w:rPr>
        <w:t>2023; e</w:t>
      </w:r>
    </w:p>
    <w:p w14:paraId="69E37313" w14:textId="77777777" w:rsidR="007F4AC6" w:rsidRPr="008643CE" w:rsidRDefault="007F4AC6" w:rsidP="007F4C17">
      <w:pPr>
        <w:tabs>
          <w:tab w:val="clear" w:pos="1418"/>
          <w:tab w:val="right" w:pos="9923"/>
        </w:tabs>
        <w:spacing w:after="120"/>
        <w:ind w:left="568" w:hanging="284"/>
        <w:rPr>
          <w:sz w:val="20"/>
        </w:rPr>
      </w:pPr>
      <w:r w:rsidRPr="008643CE">
        <w:rPr>
          <w:sz w:val="20"/>
        </w:rPr>
        <w:t>c) aplicam-se a essas operações as normas gerais para os Depósitos Interfinanceiros Vinculados ao Crédito Rural (MCR 6-6) que não conflitarem com as disposições especiais desta Seção.</w:t>
      </w:r>
    </w:p>
    <w:p w14:paraId="6849B1CD" w14:textId="1A10067D" w:rsidR="007F4AC6" w:rsidRDefault="007F4AC6" w:rsidP="00CC5396">
      <w:pPr>
        <w:tabs>
          <w:tab w:val="right" w:pos="9923"/>
          <w:tab w:val="right" w:pos="10064"/>
        </w:tabs>
        <w:spacing w:after="120"/>
        <w:ind w:left="284" w:hanging="284"/>
        <w:rPr>
          <w:sz w:val="20"/>
        </w:rPr>
      </w:pPr>
      <w:r w:rsidRPr="008643CE">
        <w:rPr>
          <w:sz w:val="20"/>
        </w:rPr>
        <w:t>15 - Aplicam-se às operações contratadas para cumprimento da exigibilidade adicional as normas gerais para as operações amparadas por Recursos Obrigatórios (MCR 6-2) que não conflitarem com as disposições especiais desta Seção.</w:t>
      </w:r>
      <w:r w:rsidR="008D7312" w:rsidRPr="008643CE">
        <w:rPr>
          <w:sz w:val="20"/>
        </w:rPr>
        <w:t xml:space="preserve"> (Res CMN 5.030 </w:t>
      </w:r>
      <w:proofErr w:type="spellStart"/>
      <w:r w:rsidR="008D7312" w:rsidRPr="008643CE">
        <w:rPr>
          <w:sz w:val="20"/>
        </w:rPr>
        <w:t>art</w:t>
      </w:r>
      <w:proofErr w:type="spellEnd"/>
      <w:r w:rsidR="008D7312" w:rsidRPr="008643CE">
        <w:rPr>
          <w:sz w:val="20"/>
        </w:rPr>
        <w:t xml:space="preserve"> 2º)</w:t>
      </w:r>
    </w:p>
    <w:p w14:paraId="6170AA1A" w14:textId="0AA3FE7F" w:rsidR="007F4C17" w:rsidRPr="00784BCB" w:rsidRDefault="007F4C17" w:rsidP="00CC5396">
      <w:pPr>
        <w:tabs>
          <w:tab w:val="clear" w:pos="1418"/>
          <w:tab w:val="right" w:pos="9923"/>
        </w:tabs>
        <w:spacing w:after="120"/>
        <w:ind w:left="284" w:hanging="284"/>
        <w:rPr>
          <w:sz w:val="20"/>
        </w:rPr>
      </w:pPr>
      <w:r w:rsidRPr="00784BCB">
        <w:rPr>
          <w:sz w:val="20"/>
        </w:rPr>
        <w:lastRenderedPageBreak/>
        <w:t>16 - As instituições financeiras de que trata o MCR 6-2-7 ficam sujeitas à exigibilidade adicional de aplicação em crédito rural dos recursos à vista para o período de cumprimento de 3</w:t>
      </w:r>
      <w:r w:rsidR="00CC5396" w:rsidRPr="00784BCB">
        <w:rPr>
          <w:sz w:val="20"/>
        </w:rPr>
        <w:t>/7/</w:t>
      </w:r>
      <w:r w:rsidRPr="00784BCB">
        <w:rPr>
          <w:sz w:val="20"/>
        </w:rPr>
        <w:t>2023 a 30</w:t>
      </w:r>
      <w:r w:rsidR="00CC5396" w:rsidRPr="00784BCB">
        <w:rPr>
          <w:sz w:val="20"/>
        </w:rPr>
        <w:t>/6/</w:t>
      </w:r>
      <w:r w:rsidRPr="00784BCB">
        <w:rPr>
          <w:sz w:val="20"/>
        </w:rPr>
        <w:t>2024, observado o disposto nos itens 17 a 21.</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00CC5396" w:rsidRPr="00784BCB">
        <w:rPr>
          <w:sz w:val="20"/>
        </w:rPr>
        <w:tab/>
        <w:t>(*)</w:t>
      </w:r>
    </w:p>
    <w:p w14:paraId="3A3A8016" w14:textId="541C616F" w:rsidR="007F4C17" w:rsidRPr="00784BCB" w:rsidRDefault="007F4C17" w:rsidP="00CC5396">
      <w:pPr>
        <w:tabs>
          <w:tab w:val="clear" w:pos="1418"/>
          <w:tab w:val="right" w:pos="9923"/>
        </w:tabs>
        <w:ind w:left="284" w:hanging="284"/>
        <w:rPr>
          <w:sz w:val="20"/>
        </w:rPr>
      </w:pPr>
      <w:r w:rsidRPr="00784BCB">
        <w:rPr>
          <w:sz w:val="20"/>
        </w:rPr>
        <w:t>17 - A exigibilidade adicional referida no item 16 é o dever que tem a instituição financeira de manter aplicado, em operações de custeio rural ao amparo do MCR 3-2, o valor correspondente a 1,5% (um inteiro e cinco décimos por cento) do valor apurado na forma do MCR 6-2-2, observadas as seguintes condições:</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Pr="00784BCB">
        <w:rPr>
          <w:sz w:val="20"/>
        </w:rPr>
        <w:tab/>
        <w:t>(*)</w:t>
      </w:r>
    </w:p>
    <w:p w14:paraId="7150A142" w14:textId="77777777" w:rsidR="007F4C17" w:rsidRPr="00784BCB" w:rsidRDefault="007F4C17" w:rsidP="00CC5396">
      <w:pPr>
        <w:tabs>
          <w:tab w:val="clear" w:pos="1418"/>
          <w:tab w:val="right" w:pos="9923"/>
        </w:tabs>
        <w:ind w:left="568" w:hanging="284"/>
        <w:rPr>
          <w:sz w:val="20"/>
        </w:rPr>
      </w:pPr>
      <w:r w:rsidRPr="00784BCB">
        <w:rPr>
          <w:sz w:val="20"/>
        </w:rPr>
        <w:t>a) o período de cálculo:</w:t>
      </w:r>
    </w:p>
    <w:p w14:paraId="3D4755F1" w14:textId="77777777" w:rsidR="007F4C17" w:rsidRPr="00784BCB" w:rsidRDefault="007F4C17" w:rsidP="00CC5396">
      <w:pPr>
        <w:tabs>
          <w:tab w:val="clear" w:pos="1418"/>
          <w:tab w:val="right" w:pos="9923"/>
        </w:tabs>
        <w:ind w:left="851" w:right="-1" w:hanging="284"/>
        <w:rPr>
          <w:sz w:val="20"/>
        </w:rPr>
      </w:pPr>
      <w:r w:rsidRPr="00784BCB">
        <w:rPr>
          <w:sz w:val="20"/>
        </w:rPr>
        <w:t xml:space="preserve">I - </w:t>
      </w:r>
      <w:proofErr w:type="gramStart"/>
      <w:r w:rsidRPr="00784BCB">
        <w:rPr>
          <w:sz w:val="20"/>
        </w:rPr>
        <w:t>inicia-se</w:t>
      </w:r>
      <w:proofErr w:type="gramEnd"/>
      <w:r w:rsidRPr="00784BCB">
        <w:rPr>
          <w:sz w:val="20"/>
        </w:rPr>
        <w:t xml:space="preserve"> no primeiro dia útil do mês de julho de 2022; e</w:t>
      </w:r>
    </w:p>
    <w:p w14:paraId="74B8C6DB" w14:textId="77777777" w:rsidR="007F4C17" w:rsidRPr="00784BCB" w:rsidRDefault="007F4C17" w:rsidP="00CC5396">
      <w:pPr>
        <w:tabs>
          <w:tab w:val="clear" w:pos="1418"/>
          <w:tab w:val="right" w:pos="9923"/>
        </w:tabs>
        <w:ind w:left="851" w:right="-1" w:hanging="284"/>
        <w:rPr>
          <w:sz w:val="20"/>
        </w:rPr>
      </w:pPr>
      <w:r w:rsidRPr="00784BCB">
        <w:rPr>
          <w:sz w:val="20"/>
        </w:rPr>
        <w:t xml:space="preserve">II - </w:t>
      </w:r>
      <w:proofErr w:type="gramStart"/>
      <w:r w:rsidRPr="00784BCB">
        <w:rPr>
          <w:sz w:val="20"/>
        </w:rPr>
        <w:t>encerra-se</w:t>
      </w:r>
      <w:proofErr w:type="gramEnd"/>
      <w:r w:rsidRPr="00784BCB">
        <w:rPr>
          <w:sz w:val="20"/>
        </w:rPr>
        <w:t xml:space="preserve"> no último dia útil do mês de junho de 2023;</w:t>
      </w:r>
    </w:p>
    <w:p w14:paraId="6FB1A442" w14:textId="6A184A6F" w:rsidR="007F4C17" w:rsidRPr="00784BCB" w:rsidRDefault="007F4C17" w:rsidP="00CC5396">
      <w:pPr>
        <w:tabs>
          <w:tab w:val="clear" w:pos="1418"/>
          <w:tab w:val="right" w:pos="9923"/>
        </w:tabs>
        <w:ind w:left="568" w:hanging="284"/>
        <w:rPr>
          <w:sz w:val="20"/>
        </w:rPr>
      </w:pPr>
      <w:r w:rsidRPr="00784BCB">
        <w:rPr>
          <w:sz w:val="20"/>
        </w:rPr>
        <w:t>b) os financiamentos devem ser contratados entre 3</w:t>
      </w:r>
      <w:r w:rsidR="00CC5396" w:rsidRPr="00784BCB">
        <w:rPr>
          <w:sz w:val="20"/>
        </w:rPr>
        <w:t>/7/</w:t>
      </w:r>
      <w:r w:rsidRPr="00784BCB">
        <w:rPr>
          <w:sz w:val="20"/>
        </w:rPr>
        <w:t>2023 e 30</w:t>
      </w:r>
      <w:r w:rsidR="00CC5396" w:rsidRPr="00784BCB">
        <w:rPr>
          <w:sz w:val="20"/>
        </w:rPr>
        <w:t>/6/</w:t>
      </w:r>
      <w:r w:rsidRPr="00784BCB">
        <w:rPr>
          <w:sz w:val="20"/>
        </w:rPr>
        <w:t>2024;</w:t>
      </w:r>
    </w:p>
    <w:p w14:paraId="0CF77CFA" w14:textId="77777777" w:rsidR="007F4C17" w:rsidRPr="00784BCB" w:rsidRDefault="007F4C17" w:rsidP="00CC5396">
      <w:pPr>
        <w:tabs>
          <w:tab w:val="clear" w:pos="1418"/>
          <w:tab w:val="right" w:pos="9923"/>
        </w:tabs>
        <w:ind w:left="568" w:hanging="284"/>
        <w:rPr>
          <w:sz w:val="20"/>
        </w:rPr>
      </w:pPr>
      <w:r w:rsidRPr="00784BCB">
        <w:rPr>
          <w:sz w:val="20"/>
        </w:rPr>
        <w:t>c) os financiamentos devem observar:</w:t>
      </w:r>
    </w:p>
    <w:p w14:paraId="0D82462F" w14:textId="77777777" w:rsidR="007F4C17" w:rsidRPr="00784BCB" w:rsidRDefault="007F4C17" w:rsidP="00CC5396">
      <w:pPr>
        <w:tabs>
          <w:tab w:val="clear" w:pos="1418"/>
          <w:tab w:val="right" w:pos="9923"/>
        </w:tabs>
        <w:ind w:left="851" w:right="-1" w:hanging="284"/>
        <w:rPr>
          <w:sz w:val="20"/>
        </w:rPr>
      </w:pPr>
      <w:r w:rsidRPr="00784BCB">
        <w:rPr>
          <w:sz w:val="20"/>
        </w:rPr>
        <w:t xml:space="preserve">I - </w:t>
      </w:r>
      <w:proofErr w:type="gramStart"/>
      <w:r w:rsidRPr="00784BCB">
        <w:rPr>
          <w:sz w:val="20"/>
        </w:rPr>
        <w:t>o</w:t>
      </w:r>
      <w:proofErr w:type="gramEnd"/>
      <w:r w:rsidRPr="00784BCB">
        <w:rPr>
          <w:sz w:val="20"/>
        </w:rPr>
        <w:t xml:space="preserve"> limite de R$3.000.000,00 (três milhões de reais), que não se comunica com os limites de que trata a Tabela 2 do MCR 7-1; e</w:t>
      </w:r>
    </w:p>
    <w:p w14:paraId="59CB37DD" w14:textId="77777777" w:rsidR="007F4C17" w:rsidRPr="00784BCB" w:rsidRDefault="007F4C17" w:rsidP="00CC5396">
      <w:pPr>
        <w:tabs>
          <w:tab w:val="clear" w:pos="1418"/>
          <w:tab w:val="right" w:pos="9923"/>
        </w:tabs>
        <w:ind w:left="851" w:right="-1" w:hanging="284"/>
        <w:rPr>
          <w:sz w:val="20"/>
        </w:rPr>
      </w:pPr>
      <w:r w:rsidRPr="00784BCB">
        <w:rPr>
          <w:sz w:val="20"/>
        </w:rPr>
        <w:t xml:space="preserve">II - </w:t>
      </w:r>
      <w:proofErr w:type="gramStart"/>
      <w:r w:rsidRPr="00784BCB">
        <w:rPr>
          <w:sz w:val="20"/>
        </w:rPr>
        <w:t>as</w:t>
      </w:r>
      <w:proofErr w:type="gramEnd"/>
      <w:r w:rsidRPr="00784BCB">
        <w:rPr>
          <w:sz w:val="20"/>
        </w:rPr>
        <w:t xml:space="preserve"> condições estabelecidas no MCR 3-2;</w:t>
      </w:r>
    </w:p>
    <w:p w14:paraId="642AFB5D" w14:textId="4973E21C" w:rsidR="007F4C17" w:rsidRPr="00784BCB" w:rsidRDefault="007F4C17" w:rsidP="00CC5396">
      <w:pPr>
        <w:tabs>
          <w:tab w:val="clear" w:pos="1418"/>
          <w:tab w:val="right" w:pos="9923"/>
        </w:tabs>
        <w:spacing w:after="120"/>
        <w:ind w:left="568" w:hanging="284"/>
        <w:rPr>
          <w:sz w:val="20"/>
        </w:rPr>
      </w:pPr>
      <w:r w:rsidRPr="00784BCB">
        <w:rPr>
          <w:sz w:val="20"/>
        </w:rPr>
        <w:t>d) os financiamentos estão sujeitos a encargos financeiros livremente pactuados entre as partes.</w:t>
      </w:r>
    </w:p>
    <w:p w14:paraId="5FFA1612" w14:textId="4594D4E1" w:rsidR="007F4C17" w:rsidRPr="00784BCB" w:rsidRDefault="007F4C17" w:rsidP="00CC5396">
      <w:pPr>
        <w:tabs>
          <w:tab w:val="clear" w:pos="1418"/>
          <w:tab w:val="right" w:pos="9923"/>
        </w:tabs>
        <w:ind w:left="284" w:hanging="284"/>
        <w:rPr>
          <w:sz w:val="20"/>
        </w:rPr>
      </w:pPr>
      <w:r w:rsidRPr="00784BCB">
        <w:rPr>
          <w:sz w:val="20"/>
        </w:rPr>
        <w:t>18 - No cumprimento da exigibilidade adicional referida no item 16, as instituições financeiras devem observar as seguintes condições:</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00CC5396" w:rsidRPr="00784BCB">
        <w:rPr>
          <w:sz w:val="20"/>
        </w:rPr>
        <w:tab/>
        <w:t>(*)</w:t>
      </w:r>
    </w:p>
    <w:p w14:paraId="182D90F9" w14:textId="77777777" w:rsidR="007F4C17" w:rsidRPr="00784BCB" w:rsidRDefault="007F4C17" w:rsidP="00CC5396">
      <w:pPr>
        <w:tabs>
          <w:tab w:val="clear" w:pos="1418"/>
          <w:tab w:val="right" w:pos="9923"/>
        </w:tabs>
        <w:ind w:left="568" w:hanging="284"/>
        <w:rPr>
          <w:sz w:val="20"/>
        </w:rPr>
      </w:pPr>
      <w:r w:rsidRPr="00784BCB">
        <w:rPr>
          <w:sz w:val="20"/>
        </w:rPr>
        <w:t>a) o período de cumprimento:</w:t>
      </w:r>
    </w:p>
    <w:p w14:paraId="271F7188" w14:textId="77777777" w:rsidR="007F4C17" w:rsidRPr="00784BCB" w:rsidRDefault="007F4C17" w:rsidP="00CC5396">
      <w:pPr>
        <w:tabs>
          <w:tab w:val="clear" w:pos="1418"/>
          <w:tab w:val="right" w:pos="9923"/>
        </w:tabs>
        <w:ind w:left="851" w:right="-1" w:hanging="284"/>
        <w:rPr>
          <w:sz w:val="20"/>
        </w:rPr>
      </w:pPr>
      <w:r w:rsidRPr="00784BCB">
        <w:rPr>
          <w:sz w:val="20"/>
        </w:rPr>
        <w:t xml:space="preserve">I - </w:t>
      </w:r>
      <w:proofErr w:type="gramStart"/>
      <w:r w:rsidRPr="00784BCB">
        <w:rPr>
          <w:sz w:val="20"/>
        </w:rPr>
        <w:t>inicia-se</w:t>
      </w:r>
      <w:proofErr w:type="gramEnd"/>
      <w:r w:rsidRPr="00784BCB">
        <w:rPr>
          <w:sz w:val="20"/>
        </w:rPr>
        <w:t xml:space="preserve"> no primeiro dia útil do mês de julho de 2023; e</w:t>
      </w:r>
    </w:p>
    <w:p w14:paraId="7C533669" w14:textId="77777777" w:rsidR="007F4C17" w:rsidRPr="00784BCB" w:rsidRDefault="007F4C17" w:rsidP="00CC5396">
      <w:pPr>
        <w:tabs>
          <w:tab w:val="clear" w:pos="1418"/>
          <w:tab w:val="right" w:pos="9923"/>
        </w:tabs>
        <w:ind w:left="851" w:right="-1" w:hanging="284"/>
        <w:rPr>
          <w:sz w:val="20"/>
        </w:rPr>
      </w:pPr>
      <w:r w:rsidRPr="00784BCB">
        <w:rPr>
          <w:sz w:val="20"/>
        </w:rPr>
        <w:t xml:space="preserve">II - </w:t>
      </w:r>
      <w:proofErr w:type="gramStart"/>
      <w:r w:rsidRPr="00784BCB">
        <w:rPr>
          <w:sz w:val="20"/>
        </w:rPr>
        <w:t>encerra-se</w:t>
      </w:r>
      <w:proofErr w:type="gramEnd"/>
      <w:r w:rsidRPr="00784BCB">
        <w:rPr>
          <w:sz w:val="20"/>
        </w:rPr>
        <w:t xml:space="preserve"> no último dia útil do mês de junho de 2024;</w:t>
      </w:r>
    </w:p>
    <w:p w14:paraId="1F5B4957" w14:textId="77777777" w:rsidR="007F4C17" w:rsidRPr="00784BCB" w:rsidRDefault="007F4C17" w:rsidP="00CC5396">
      <w:pPr>
        <w:tabs>
          <w:tab w:val="clear" w:pos="1418"/>
          <w:tab w:val="right" w:pos="9923"/>
        </w:tabs>
        <w:ind w:left="568" w:hanging="284"/>
        <w:rPr>
          <w:sz w:val="20"/>
        </w:rPr>
      </w:pPr>
      <w:r w:rsidRPr="00784BCB">
        <w:rPr>
          <w:sz w:val="20"/>
        </w:rPr>
        <w:t>b) as instituições financeiras que apresentarem exigibilidade adicional igual ou inferior a R$10.000.000,00 (dez milhões de reais) ficam isentas do cumprimento dessa exigência;</w:t>
      </w:r>
    </w:p>
    <w:p w14:paraId="0C19575D" w14:textId="77777777" w:rsidR="007F4C17" w:rsidRPr="00784BCB" w:rsidRDefault="007F4C17" w:rsidP="00CC5396">
      <w:pPr>
        <w:tabs>
          <w:tab w:val="clear" w:pos="1418"/>
          <w:tab w:val="right" w:pos="9923"/>
        </w:tabs>
        <w:ind w:left="568" w:hanging="284"/>
        <w:rPr>
          <w:sz w:val="20"/>
        </w:rPr>
      </w:pPr>
      <w:r w:rsidRPr="00784BCB">
        <w:rPr>
          <w:sz w:val="20"/>
        </w:rPr>
        <w:t>c) as instituições devem editar, validar e enviar as informações relativas ao cumprimento da exigibilidade adicional nos termos do MCR - Documento 6;</w:t>
      </w:r>
    </w:p>
    <w:p w14:paraId="43394C93" w14:textId="77777777" w:rsidR="007F4C17" w:rsidRPr="00784BCB" w:rsidRDefault="007F4C17" w:rsidP="00CC5396">
      <w:pPr>
        <w:tabs>
          <w:tab w:val="clear" w:pos="1418"/>
          <w:tab w:val="right" w:pos="9923"/>
        </w:tabs>
        <w:ind w:left="568" w:hanging="284"/>
        <w:rPr>
          <w:sz w:val="20"/>
        </w:rPr>
      </w:pPr>
      <w:r w:rsidRPr="00784BCB">
        <w:rPr>
          <w:sz w:val="20"/>
        </w:rPr>
        <w:t>d) as instituições financeiras que incorrerem em deficiência de aplicação devem observar as disposições do MCR 6-5 aplicáveis à exigibilidade dos Recursos Obrigatórios (MCR 6-2); e</w:t>
      </w:r>
    </w:p>
    <w:p w14:paraId="083B6950" w14:textId="1EC9E5FD" w:rsidR="007F4C17" w:rsidRPr="00784BCB" w:rsidRDefault="007F4C17" w:rsidP="00CC5396">
      <w:pPr>
        <w:tabs>
          <w:tab w:val="clear" w:pos="1418"/>
          <w:tab w:val="right" w:pos="9923"/>
        </w:tabs>
        <w:spacing w:after="120"/>
        <w:ind w:left="568" w:hanging="284"/>
        <w:rPr>
          <w:sz w:val="20"/>
        </w:rPr>
      </w:pPr>
      <w:r w:rsidRPr="00784BCB">
        <w:rPr>
          <w:sz w:val="20"/>
        </w:rPr>
        <w:t>e) a verificação do cumprimento, a cargo do Banco Central do Brasil, deve ser efetivada a partir de 20</w:t>
      </w:r>
      <w:r w:rsidR="00CC5396" w:rsidRPr="00784BCB">
        <w:rPr>
          <w:sz w:val="20"/>
        </w:rPr>
        <w:t>/7/</w:t>
      </w:r>
      <w:r w:rsidRPr="00784BCB">
        <w:rPr>
          <w:sz w:val="20"/>
        </w:rPr>
        <w:t>2024, sem prejuízo das ações emanadas da área de Fiscalização.</w:t>
      </w:r>
    </w:p>
    <w:p w14:paraId="6A43E798" w14:textId="74AF4D11" w:rsidR="007F4C17" w:rsidRPr="00784BCB" w:rsidRDefault="007F4C17" w:rsidP="00CC5396">
      <w:pPr>
        <w:tabs>
          <w:tab w:val="clear" w:pos="1418"/>
          <w:tab w:val="right" w:pos="9923"/>
        </w:tabs>
        <w:spacing w:after="120"/>
        <w:ind w:left="284" w:hanging="284"/>
        <w:rPr>
          <w:sz w:val="20"/>
        </w:rPr>
      </w:pPr>
      <w:r w:rsidRPr="00784BCB">
        <w:rPr>
          <w:sz w:val="20"/>
        </w:rPr>
        <w:t>19 - Os saldos das operações contratadas para o cumprimento da exigibilidade adicional referida no item 16 poderão cumprir a exigibilidade dos Recursos Obrigatórios (MCR 6-2) a partir de 1º/7/2024, não sendo necessária a alteração da fonte de recursos das referidas operações.</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00CC5396" w:rsidRPr="00784BCB">
        <w:rPr>
          <w:sz w:val="20"/>
        </w:rPr>
        <w:tab/>
        <w:t>(*)</w:t>
      </w:r>
    </w:p>
    <w:p w14:paraId="4A18A1A3" w14:textId="7D7720D8" w:rsidR="007F4C17" w:rsidRPr="00784BCB" w:rsidRDefault="007F4C17" w:rsidP="00CC5396">
      <w:pPr>
        <w:tabs>
          <w:tab w:val="clear" w:pos="1418"/>
          <w:tab w:val="right" w:pos="9923"/>
        </w:tabs>
        <w:ind w:left="284" w:hanging="284"/>
        <w:rPr>
          <w:sz w:val="20"/>
        </w:rPr>
      </w:pPr>
      <w:r w:rsidRPr="00784BCB">
        <w:rPr>
          <w:sz w:val="20"/>
        </w:rPr>
        <w:t>20 - Admite-se a utilização do DIR-Geral, de que trata o MCR 6-6-2</w:t>
      </w:r>
      <w:proofErr w:type="gramStart"/>
      <w:r w:rsidRPr="00784BCB">
        <w:rPr>
          <w:sz w:val="20"/>
        </w:rPr>
        <w:t>-“</w:t>
      </w:r>
      <w:proofErr w:type="gramEnd"/>
      <w:r w:rsidRPr="00784BCB">
        <w:rPr>
          <w:sz w:val="20"/>
        </w:rPr>
        <w:t>a”, para cumprimento da exigibilidade adicional referida no item 16, observado que:</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00CC5396" w:rsidRPr="00784BCB">
        <w:rPr>
          <w:sz w:val="20"/>
        </w:rPr>
        <w:tab/>
        <w:t>(*)</w:t>
      </w:r>
    </w:p>
    <w:p w14:paraId="2DFDC7E0" w14:textId="379ABB7F" w:rsidR="007F4C17" w:rsidRPr="00784BCB" w:rsidRDefault="007F4C17" w:rsidP="00CC5396">
      <w:pPr>
        <w:tabs>
          <w:tab w:val="clear" w:pos="1418"/>
          <w:tab w:val="right" w:pos="9923"/>
        </w:tabs>
        <w:ind w:left="568" w:hanging="284"/>
        <w:rPr>
          <w:sz w:val="20"/>
        </w:rPr>
      </w:pPr>
      <w:r w:rsidRPr="00784BCB">
        <w:rPr>
          <w:sz w:val="20"/>
        </w:rPr>
        <w:t>a) os DIR devem ser contratados entre 3</w:t>
      </w:r>
      <w:r w:rsidR="00CC5396" w:rsidRPr="00784BCB">
        <w:rPr>
          <w:sz w:val="20"/>
        </w:rPr>
        <w:t>/7/</w:t>
      </w:r>
      <w:r w:rsidRPr="00784BCB">
        <w:rPr>
          <w:sz w:val="20"/>
        </w:rPr>
        <w:t>2023 e 30</w:t>
      </w:r>
      <w:r w:rsidR="00CC5396" w:rsidRPr="00784BCB">
        <w:rPr>
          <w:sz w:val="20"/>
        </w:rPr>
        <w:t>/6/</w:t>
      </w:r>
      <w:r w:rsidRPr="00784BCB">
        <w:rPr>
          <w:sz w:val="20"/>
        </w:rPr>
        <w:t>2024;</w:t>
      </w:r>
    </w:p>
    <w:p w14:paraId="7BE9B829" w14:textId="0F94923B" w:rsidR="007F4C17" w:rsidRPr="00784BCB" w:rsidRDefault="007F4C17" w:rsidP="00CC5396">
      <w:pPr>
        <w:tabs>
          <w:tab w:val="clear" w:pos="1418"/>
          <w:tab w:val="right" w:pos="9923"/>
        </w:tabs>
        <w:ind w:left="568" w:hanging="284"/>
        <w:rPr>
          <w:sz w:val="20"/>
        </w:rPr>
      </w:pPr>
      <w:r w:rsidRPr="00784BCB">
        <w:rPr>
          <w:sz w:val="20"/>
        </w:rPr>
        <w:t>b) os saldos utilizados para cumprimento da exigibilidade adicional não poderão ser contabilizados para cumprimento da Exigibilidade Geral dos Recursos Obrigatórios no período de cumprimento de 3</w:t>
      </w:r>
      <w:r w:rsidR="00CC5396" w:rsidRPr="00784BCB">
        <w:rPr>
          <w:sz w:val="20"/>
        </w:rPr>
        <w:t>/7/</w:t>
      </w:r>
      <w:r w:rsidRPr="00784BCB">
        <w:rPr>
          <w:sz w:val="20"/>
        </w:rPr>
        <w:t>2023 a 30</w:t>
      </w:r>
      <w:r w:rsidR="00CC5396" w:rsidRPr="00784BCB">
        <w:rPr>
          <w:sz w:val="20"/>
        </w:rPr>
        <w:t>/6/</w:t>
      </w:r>
      <w:r w:rsidRPr="00784BCB">
        <w:rPr>
          <w:sz w:val="20"/>
        </w:rPr>
        <w:t>2024; e</w:t>
      </w:r>
    </w:p>
    <w:p w14:paraId="504AEA4A" w14:textId="022905BC" w:rsidR="007F4C17" w:rsidRPr="00784BCB" w:rsidRDefault="007F4C17" w:rsidP="00CC5396">
      <w:pPr>
        <w:tabs>
          <w:tab w:val="clear" w:pos="1418"/>
          <w:tab w:val="right" w:pos="9923"/>
        </w:tabs>
        <w:spacing w:after="120"/>
        <w:ind w:left="568" w:hanging="284"/>
        <w:rPr>
          <w:sz w:val="20"/>
        </w:rPr>
      </w:pPr>
      <w:r w:rsidRPr="00784BCB">
        <w:rPr>
          <w:sz w:val="20"/>
        </w:rPr>
        <w:t>c) aplicam-se a essas operações as normas gerais para os Depósitos Interfinanceiros Vinculados ao Crédito Rural (MCR 6-6) que não conflitarem com as disposições contidas nos itens 17 a 21.</w:t>
      </w:r>
    </w:p>
    <w:p w14:paraId="3C569B0C" w14:textId="281BB580" w:rsidR="007F4C17" w:rsidRPr="00FE799A" w:rsidRDefault="007F4C17" w:rsidP="00CC5396">
      <w:pPr>
        <w:tabs>
          <w:tab w:val="clear" w:pos="1418"/>
          <w:tab w:val="right" w:pos="9923"/>
        </w:tabs>
        <w:ind w:left="284" w:hanging="284"/>
        <w:rPr>
          <w:sz w:val="20"/>
        </w:rPr>
      </w:pPr>
      <w:r w:rsidRPr="00784BCB">
        <w:rPr>
          <w:sz w:val="20"/>
        </w:rPr>
        <w:t>21 - Aplicam-se às operações contratadas para cumprimento da exigibilidade adicional de que trata o item 16 as normas gerais para as operações amparadas por Recursos Obrigatórios (MCR 6-2) que não conflitarem com as disposições contidas nos itens 17 a 21.</w:t>
      </w:r>
      <w:r w:rsidR="00CC5396" w:rsidRPr="00784BCB">
        <w:rPr>
          <w:sz w:val="20"/>
        </w:rPr>
        <w:t xml:space="preserve"> (Res CMN 5.087 </w:t>
      </w:r>
      <w:proofErr w:type="spellStart"/>
      <w:r w:rsidR="00CC5396" w:rsidRPr="00784BCB">
        <w:rPr>
          <w:sz w:val="20"/>
        </w:rPr>
        <w:t>art</w:t>
      </w:r>
      <w:proofErr w:type="spellEnd"/>
      <w:r w:rsidR="00CC5396" w:rsidRPr="00784BCB">
        <w:rPr>
          <w:sz w:val="20"/>
        </w:rPr>
        <w:t xml:space="preserve"> 4º)</w:t>
      </w:r>
      <w:r w:rsidR="00CC5396" w:rsidRPr="00784BCB">
        <w:rPr>
          <w:sz w:val="20"/>
        </w:rPr>
        <w:tab/>
        <w:t>(*)</w:t>
      </w:r>
    </w:p>
    <w:sectPr w:rsidR="007F4C17" w:rsidRPr="00FE799A" w:rsidSect="00920452">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18F5" w14:textId="77777777" w:rsidR="002378D8" w:rsidRDefault="002378D8">
      <w:r>
        <w:separator/>
      </w:r>
    </w:p>
  </w:endnote>
  <w:endnote w:type="continuationSeparator" w:id="0">
    <w:p w14:paraId="2361794E" w14:textId="77777777" w:rsidR="002378D8" w:rsidRDefault="0023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1499" w14:textId="77777777" w:rsidR="009E0C9A" w:rsidRPr="000B57FA" w:rsidRDefault="009E0C9A" w:rsidP="009E0C9A">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371D0DF8" w14:textId="22566472" w:rsidR="004D6EC0" w:rsidRPr="009E0C9A" w:rsidRDefault="00B4271F" w:rsidP="00EA59CD">
    <w:pPr>
      <w:pStyle w:val="Rodap"/>
      <w:rPr>
        <w:sz w:val="20"/>
      </w:rPr>
    </w:pPr>
    <w:r w:rsidRPr="00975199">
      <w:rPr>
        <w:sz w:val="20"/>
      </w:rPr>
      <w:t xml:space="preserve">Atualização MCR nº </w:t>
    </w:r>
    <w:r w:rsidR="007F4C17" w:rsidRPr="00975199">
      <w:rPr>
        <w:sz w:val="20"/>
      </w:rPr>
      <w:t>720</w:t>
    </w:r>
    <w:r w:rsidRPr="00975199">
      <w:rPr>
        <w:sz w:val="20"/>
      </w:rPr>
      <w:t xml:space="preserve">, de </w:t>
    </w:r>
    <w:r w:rsidR="00975199" w:rsidRPr="00975199">
      <w:rPr>
        <w:sz w:val="20"/>
      </w:rPr>
      <w:t>19</w:t>
    </w:r>
    <w:r w:rsidRPr="00975199">
      <w:rPr>
        <w:sz w:val="20"/>
      </w:rPr>
      <w:t xml:space="preserve"> de julho de 202</w:t>
    </w:r>
    <w:r w:rsidR="007F4C17" w:rsidRPr="00975199">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50F4" w14:textId="77777777" w:rsidR="00920452" w:rsidRPr="000B57FA" w:rsidRDefault="00920452" w:rsidP="00920452">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04D17BAF" w14:textId="68A270F0" w:rsidR="00920452" w:rsidRPr="00920452" w:rsidRDefault="007F4C17" w:rsidP="007F4C17">
    <w:pPr>
      <w:pStyle w:val="Rodap"/>
      <w:rPr>
        <w:sz w:val="20"/>
      </w:rPr>
    </w:pPr>
    <w:r w:rsidRPr="00975199">
      <w:rPr>
        <w:sz w:val="20"/>
      </w:rPr>
      <w:t xml:space="preserve">Atualização MCR nº 720, de </w:t>
    </w:r>
    <w:r w:rsidR="00975199" w:rsidRPr="00975199">
      <w:rPr>
        <w:sz w:val="20"/>
      </w:rPr>
      <w:t>19</w:t>
    </w:r>
    <w:r w:rsidRPr="00975199">
      <w:rPr>
        <w:sz w:val="20"/>
      </w:rPr>
      <w:t xml:space="preserve">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BC8B" w14:textId="77777777" w:rsidR="002378D8" w:rsidRDefault="002378D8">
      <w:r>
        <w:separator/>
      </w:r>
    </w:p>
  </w:footnote>
  <w:footnote w:type="continuationSeparator" w:id="0">
    <w:p w14:paraId="04233F5C" w14:textId="77777777" w:rsidR="002378D8" w:rsidRDefault="0023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95FF" w14:textId="77777777" w:rsidR="004D6EC0" w:rsidRDefault="004D6E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CCB1CCB" w14:textId="77777777" w:rsidR="004D6EC0" w:rsidRDefault="004D6EC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4DD8" w14:textId="77777777" w:rsidR="004D6EC0" w:rsidRPr="004C6F9A" w:rsidRDefault="004D6EC0" w:rsidP="00720AA8">
    <w:pPr>
      <w:pStyle w:val="Cabealho"/>
      <w:tabs>
        <w:tab w:val="left" w:pos="993"/>
        <w:tab w:val="right" w:pos="9639"/>
      </w:tabs>
      <w:rPr>
        <w:sz w:val="20"/>
      </w:rPr>
    </w:pPr>
    <w:r w:rsidRPr="004C6F9A">
      <w:rPr>
        <w:sz w:val="20"/>
      </w:rPr>
      <w:t>TÍTULO</w:t>
    </w:r>
    <w:r w:rsidRPr="004C6F9A">
      <w:rPr>
        <w:sz w:val="20"/>
      </w:rPr>
      <w:tab/>
      <w:t>: CRÉDITO RURAL</w:t>
    </w:r>
    <w:r w:rsidRPr="004C6F9A">
      <w:rPr>
        <w:sz w:val="20"/>
      </w:rPr>
      <w:tab/>
    </w:r>
    <w:r w:rsidRPr="004C6F9A">
      <w:rPr>
        <w:sz w:val="20"/>
      </w:rPr>
      <w:fldChar w:fldCharType="begin"/>
    </w:r>
    <w:r w:rsidRPr="004C6F9A">
      <w:rPr>
        <w:sz w:val="20"/>
      </w:rPr>
      <w:instrText xml:space="preserve"> PAGE  \* MERGEFORMAT </w:instrText>
    </w:r>
    <w:r w:rsidRPr="004C6F9A">
      <w:rPr>
        <w:sz w:val="20"/>
      </w:rPr>
      <w:fldChar w:fldCharType="separate"/>
    </w:r>
    <w:r w:rsidR="00372127">
      <w:rPr>
        <w:noProof/>
        <w:sz w:val="20"/>
      </w:rPr>
      <w:t>2</w:t>
    </w:r>
    <w:r w:rsidRPr="004C6F9A">
      <w:rPr>
        <w:sz w:val="20"/>
      </w:rPr>
      <w:fldChar w:fldCharType="end"/>
    </w:r>
  </w:p>
  <w:p w14:paraId="56140B18" w14:textId="77777777" w:rsidR="004D6EC0" w:rsidRPr="004C6F9A" w:rsidRDefault="004D6EC0" w:rsidP="00720AA8">
    <w:pPr>
      <w:pStyle w:val="Cabealho"/>
      <w:tabs>
        <w:tab w:val="left" w:pos="993"/>
        <w:tab w:val="right" w:pos="9639"/>
      </w:tabs>
      <w:rPr>
        <w:sz w:val="20"/>
      </w:rPr>
    </w:pPr>
    <w:r w:rsidRPr="004C6F9A">
      <w:rPr>
        <w:sz w:val="20"/>
      </w:rPr>
      <w:t>CAPÍTULO</w:t>
    </w:r>
    <w:r w:rsidRPr="004C6F9A">
      <w:rPr>
        <w:sz w:val="20"/>
      </w:rPr>
      <w:tab/>
      <w:t xml:space="preserve">: </w:t>
    </w:r>
    <w:r w:rsidR="0060097A" w:rsidRPr="004C6F9A">
      <w:rPr>
        <w:sz w:val="20"/>
      </w:rPr>
      <w:t>Recursos - 6</w:t>
    </w:r>
  </w:p>
  <w:p w14:paraId="59FA7753" w14:textId="52CDD057" w:rsidR="004D6EC0" w:rsidRPr="00720AA8" w:rsidRDefault="004D6EC0" w:rsidP="00720AA8">
    <w:pPr>
      <w:pStyle w:val="Cabealho"/>
      <w:tabs>
        <w:tab w:val="left" w:pos="993"/>
        <w:tab w:val="right" w:pos="9639"/>
        <w:tab w:val="right" w:pos="10064"/>
      </w:tabs>
      <w:rPr>
        <w:sz w:val="20"/>
      </w:rPr>
    </w:pPr>
    <w:r w:rsidRPr="004C6F9A">
      <w:rPr>
        <w:sz w:val="20"/>
      </w:rPr>
      <w:t>SEÇÃO</w:t>
    </w:r>
    <w:r w:rsidRPr="004C6F9A">
      <w:rPr>
        <w:sz w:val="20"/>
      </w:rPr>
      <w:tab/>
      <w:t xml:space="preserve">: </w:t>
    </w:r>
    <w:r w:rsidR="00F22B7F" w:rsidRPr="00F22B7F">
      <w:rPr>
        <w:sz w:val="20"/>
      </w:rPr>
      <w:t>Normas Transitórias</w:t>
    </w:r>
    <w:r w:rsidR="0060097A" w:rsidRPr="004C6F9A">
      <w:rPr>
        <w:sz w:val="20"/>
      </w:rPr>
      <w:t xml:space="preserve"> - 8</w:t>
    </w:r>
  </w:p>
  <w:p w14:paraId="78C0A2A9" w14:textId="77777777" w:rsidR="004D6EC0" w:rsidRPr="00720AA8" w:rsidRDefault="004D6EC0" w:rsidP="00720AA8">
    <w:pPr>
      <w:pStyle w:val="Cabealho"/>
      <w:tabs>
        <w:tab w:val="left" w:pos="993"/>
        <w:tab w:val="right" w:pos="9639"/>
      </w:tabs>
      <w:rPr>
        <w:sz w:val="20"/>
      </w:rPr>
    </w:pPr>
    <w:r w:rsidRPr="00720AA8">
      <w:rPr>
        <w:sz w:val="20"/>
      </w:rPr>
      <w:t>_____________________________________________________________________________</w:t>
    </w:r>
    <w:r>
      <w:rPr>
        <w:sz w:val="20"/>
      </w:rPr>
      <w:t>________________</w:t>
    </w:r>
  </w:p>
  <w:p w14:paraId="112D22BC" w14:textId="77777777" w:rsidR="004D6EC0" w:rsidRPr="00720AA8" w:rsidRDefault="004D6EC0" w:rsidP="00720AA8">
    <w:pPr>
      <w:pStyle w:val="Cabealho"/>
      <w:tabs>
        <w:tab w:val="left" w:pos="993"/>
        <w:tab w:val="right" w:pos="963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24DC6EB6"/>
    <w:lvl w:ilvl="0">
      <w:start w:val="1"/>
      <w:numFmt w:val="none"/>
      <w:lvlText w:val="Voto"/>
      <w:lvlJc w:val="left"/>
      <w:pPr>
        <w:tabs>
          <w:tab w:val="num" w:pos="720"/>
        </w:tabs>
        <w:ind w:left="0" w:firstLine="0"/>
      </w:pPr>
      <w:rPr>
        <w:rFonts w:ascii="Times New Roman" w:hAnsi="Times New Roman" w:hint="default"/>
        <w:b w:val="0"/>
        <w:i w:val="0"/>
        <w:sz w:val="24"/>
      </w:rPr>
    </w:lvl>
  </w:abstractNum>
  <w:abstractNum w:abstractNumId="1" w15:restartNumberingAfterBreak="0">
    <w:nsid w:val="0EBD1014"/>
    <w:multiLevelType w:val="hybridMultilevel"/>
    <w:tmpl w:val="D28E30F8"/>
    <w:lvl w:ilvl="0" w:tplc="C75823E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15:restartNumberingAfterBreak="0">
    <w:nsid w:val="0FCF26D1"/>
    <w:multiLevelType w:val="hybridMultilevel"/>
    <w:tmpl w:val="E42ACB56"/>
    <w:lvl w:ilvl="0" w:tplc="7DD01E68">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3" w15:restartNumberingAfterBreak="0">
    <w:nsid w:val="159F26E2"/>
    <w:multiLevelType w:val="multilevel"/>
    <w:tmpl w:val="0D62D1A8"/>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4" w15:restartNumberingAfterBreak="0">
    <w:nsid w:val="171C54AB"/>
    <w:multiLevelType w:val="hybridMultilevel"/>
    <w:tmpl w:val="EFB8ED76"/>
    <w:lvl w:ilvl="0" w:tplc="A8AC797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816DA"/>
    <w:multiLevelType w:val="hybridMultilevel"/>
    <w:tmpl w:val="6242EE0E"/>
    <w:lvl w:ilvl="0" w:tplc="77EAAE2C">
      <w:start w:val="1"/>
      <w:numFmt w:val="lowerLetter"/>
      <w:lvlText w:val="%1)"/>
      <w:lvlJc w:val="left"/>
      <w:pPr>
        <w:tabs>
          <w:tab w:val="num" w:pos="2138"/>
        </w:tabs>
        <w:ind w:left="2138" w:hanging="360"/>
      </w:pPr>
      <w:rPr>
        <w:rFonts w:hint="default"/>
      </w:r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15:restartNumberingAfterBreak="0">
    <w:nsid w:val="1C605428"/>
    <w:multiLevelType w:val="hybridMultilevel"/>
    <w:tmpl w:val="747ACF8A"/>
    <w:lvl w:ilvl="0" w:tplc="DA9E6462">
      <w:start w:val="1"/>
      <w:numFmt w:val="lowerLetter"/>
      <w:lvlText w:val="%1)"/>
      <w:lvlJc w:val="left"/>
      <w:pPr>
        <w:tabs>
          <w:tab w:val="num" w:pos="964"/>
        </w:tabs>
        <w:ind w:left="964" w:hanging="397"/>
      </w:pPr>
      <w:rPr>
        <w:rFonts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2B537D"/>
    <w:multiLevelType w:val="multilevel"/>
    <w:tmpl w:val="FC866C32"/>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9" w15:restartNumberingAfterBreak="0">
    <w:nsid w:val="4C4B1DB3"/>
    <w:multiLevelType w:val="hybridMultilevel"/>
    <w:tmpl w:val="3D042E64"/>
    <w:lvl w:ilvl="0" w:tplc="D95E6CD2">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0" w15:restartNumberingAfterBreak="0">
    <w:nsid w:val="55C477A6"/>
    <w:multiLevelType w:val="hybridMultilevel"/>
    <w:tmpl w:val="FC866C32"/>
    <w:lvl w:ilvl="0" w:tplc="F57056B6">
      <w:start w:val="1"/>
      <w:numFmt w:val="decimal"/>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1" w15:restartNumberingAfterBreak="0">
    <w:nsid w:val="6B1431B6"/>
    <w:multiLevelType w:val="hybridMultilevel"/>
    <w:tmpl w:val="DF647BFA"/>
    <w:lvl w:ilvl="0" w:tplc="812AB2D4">
      <w:start w:val="1"/>
      <w:numFmt w:val="bullet"/>
      <w:lvlText w:val=""/>
      <w:lvlJc w:val="left"/>
      <w:pPr>
        <w:tabs>
          <w:tab w:val="num" w:pos="1353"/>
        </w:tabs>
        <w:ind w:left="1353" w:hanging="360"/>
      </w:pPr>
      <w:rPr>
        <w:rFonts w:ascii="Symbol" w:hAnsi="Symbol"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12" w15:restartNumberingAfterBreak="0">
    <w:nsid w:val="6BA149D1"/>
    <w:multiLevelType w:val="hybridMultilevel"/>
    <w:tmpl w:val="B7C6B936"/>
    <w:lvl w:ilvl="0" w:tplc="38A0C2C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3" w15:restartNumberingAfterBreak="0">
    <w:nsid w:val="6E981A7A"/>
    <w:multiLevelType w:val="hybridMultilevel"/>
    <w:tmpl w:val="7D32815E"/>
    <w:lvl w:ilvl="0" w:tplc="DD8E2986">
      <w:start w:val="1"/>
      <w:numFmt w:val="lowerLetter"/>
      <w:lvlText w:val="%1)"/>
      <w:lvlJc w:val="left"/>
      <w:pPr>
        <w:tabs>
          <w:tab w:val="num" w:pos="1785"/>
        </w:tabs>
        <w:ind w:left="1785" w:hanging="360"/>
      </w:pPr>
      <w:rPr>
        <w:rFonts w:hint="default"/>
      </w:rPr>
    </w:lvl>
    <w:lvl w:ilvl="1" w:tplc="04160019">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4" w15:restartNumberingAfterBreak="0">
    <w:nsid w:val="6FB71177"/>
    <w:multiLevelType w:val="hybridMultilevel"/>
    <w:tmpl w:val="000E8070"/>
    <w:lvl w:ilvl="0" w:tplc="1C1A5CF8">
      <w:start w:val="5"/>
      <w:numFmt w:val="decimal"/>
      <w:lvlText w:val="%1."/>
      <w:lvlJc w:val="left"/>
      <w:pPr>
        <w:tabs>
          <w:tab w:val="num" w:pos="1800"/>
        </w:tabs>
        <w:ind w:left="1800" w:hanging="14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25688881">
    <w:abstractNumId w:val="5"/>
  </w:num>
  <w:num w:numId="2" w16cid:durableId="708604604">
    <w:abstractNumId w:val="0"/>
  </w:num>
  <w:num w:numId="3" w16cid:durableId="1723478066">
    <w:abstractNumId w:val="11"/>
  </w:num>
  <w:num w:numId="4" w16cid:durableId="707532134">
    <w:abstractNumId w:val="7"/>
  </w:num>
  <w:num w:numId="5" w16cid:durableId="20733827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875813">
    <w:abstractNumId w:val="1"/>
  </w:num>
  <w:num w:numId="7" w16cid:durableId="1085109473">
    <w:abstractNumId w:val="12"/>
  </w:num>
  <w:num w:numId="8" w16cid:durableId="1534228205">
    <w:abstractNumId w:val="10"/>
  </w:num>
  <w:num w:numId="9" w16cid:durableId="1567564836">
    <w:abstractNumId w:val="14"/>
  </w:num>
  <w:num w:numId="10" w16cid:durableId="1824006382">
    <w:abstractNumId w:val="3"/>
  </w:num>
  <w:num w:numId="11" w16cid:durableId="573588805">
    <w:abstractNumId w:val="8"/>
  </w:num>
  <w:num w:numId="12" w16cid:durableId="514537253">
    <w:abstractNumId w:val="4"/>
  </w:num>
  <w:num w:numId="13" w16cid:durableId="1452625154">
    <w:abstractNumId w:val="2"/>
  </w:num>
  <w:num w:numId="14" w16cid:durableId="1983655496">
    <w:abstractNumId w:val="13"/>
  </w:num>
  <w:num w:numId="15" w16cid:durableId="1388608144">
    <w:abstractNumId w:val="9"/>
  </w:num>
  <w:num w:numId="16" w16cid:durableId="575438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oNotTrackMoves/>
  <w:defaultTabStop w:val="709"/>
  <w:consecutiveHyphenLimit w:val="3"/>
  <w:hyphenationZone w:val="142"/>
  <w:doNotHyphenateCaps/>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10A1"/>
    <w:rsid w:val="00000665"/>
    <w:rsid w:val="000461CE"/>
    <w:rsid w:val="00052453"/>
    <w:rsid w:val="000728A8"/>
    <w:rsid w:val="00084AFE"/>
    <w:rsid w:val="000B3505"/>
    <w:rsid w:val="000B57FA"/>
    <w:rsid w:val="000D419A"/>
    <w:rsid w:val="0010392B"/>
    <w:rsid w:val="00110C5E"/>
    <w:rsid w:val="001129F7"/>
    <w:rsid w:val="00136458"/>
    <w:rsid w:val="00171566"/>
    <w:rsid w:val="0017644C"/>
    <w:rsid w:val="00195238"/>
    <w:rsid w:val="001E3F51"/>
    <w:rsid w:val="001E64A9"/>
    <w:rsid w:val="00217941"/>
    <w:rsid w:val="00230DA0"/>
    <w:rsid w:val="0023626A"/>
    <w:rsid w:val="002378D8"/>
    <w:rsid w:val="002613FE"/>
    <w:rsid w:val="00276952"/>
    <w:rsid w:val="00297521"/>
    <w:rsid w:val="002A203F"/>
    <w:rsid w:val="002C09BE"/>
    <w:rsid w:val="002D7B76"/>
    <w:rsid w:val="00312D9C"/>
    <w:rsid w:val="0032448B"/>
    <w:rsid w:val="00361086"/>
    <w:rsid w:val="00372127"/>
    <w:rsid w:val="00376A15"/>
    <w:rsid w:val="003F6538"/>
    <w:rsid w:val="00405D45"/>
    <w:rsid w:val="00410CB5"/>
    <w:rsid w:val="004128B3"/>
    <w:rsid w:val="00420794"/>
    <w:rsid w:val="00427BA9"/>
    <w:rsid w:val="004435E8"/>
    <w:rsid w:val="0045334B"/>
    <w:rsid w:val="00465B03"/>
    <w:rsid w:val="00472878"/>
    <w:rsid w:val="004801E0"/>
    <w:rsid w:val="00483652"/>
    <w:rsid w:val="004B2D05"/>
    <w:rsid w:val="004C6F9A"/>
    <w:rsid w:val="004D6EC0"/>
    <w:rsid w:val="004E1CE0"/>
    <w:rsid w:val="004F28E8"/>
    <w:rsid w:val="004F2F57"/>
    <w:rsid w:val="0050426E"/>
    <w:rsid w:val="00514206"/>
    <w:rsid w:val="00524AF3"/>
    <w:rsid w:val="005464B4"/>
    <w:rsid w:val="00562F2D"/>
    <w:rsid w:val="00567A76"/>
    <w:rsid w:val="005A41B6"/>
    <w:rsid w:val="005A4DBA"/>
    <w:rsid w:val="005A6686"/>
    <w:rsid w:val="005B06EC"/>
    <w:rsid w:val="005C567A"/>
    <w:rsid w:val="005D3D2E"/>
    <w:rsid w:val="005E324F"/>
    <w:rsid w:val="0060097A"/>
    <w:rsid w:val="006054DD"/>
    <w:rsid w:val="00625F68"/>
    <w:rsid w:val="00633A5E"/>
    <w:rsid w:val="00673E23"/>
    <w:rsid w:val="006B449E"/>
    <w:rsid w:val="006D4646"/>
    <w:rsid w:val="006E5BFB"/>
    <w:rsid w:val="00705205"/>
    <w:rsid w:val="007177EB"/>
    <w:rsid w:val="00720AA8"/>
    <w:rsid w:val="007241EF"/>
    <w:rsid w:val="00744CE7"/>
    <w:rsid w:val="007524EA"/>
    <w:rsid w:val="00756E0C"/>
    <w:rsid w:val="007605D0"/>
    <w:rsid w:val="00784BCB"/>
    <w:rsid w:val="0079133A"/>
    <w:rsid w:val="0079703A"/>
    <w:rsid w:val="007B4417"/>
    <w:rsid w:val="007D2358"/>
    <w:rsid w:val="007E2FE2"/>
    <w:rsid w:val="007F2C30"/>
    <w:rsid w:val="007F4AC6"/>
    <w:rsid w:val="007F4C17"/>
    <w:rsid w:val="008214CA"/>
    <w:rsid w:val="00822FE8"/>
    <w:rsid w:val="0086007D"/>
    <w:rsid w:val="008643CE"/>
    <w:rsid w:val="00871B4C"/>
    <w:rsid w:val="008738CF"/>
    <w:rsid w:val="00875AD0"/>
    <w:rsid w:val="008B42A5"/>
    <w:rsid w:val="008C1725"/>
    <w:rsid w:val="008C3734"/>
    <w:rsid w:val="008D12BD"/>
    <w:rsid w:val="008D7312"/>
    <w:rsid w:val="008E30EF"/>
    <w:rsid w:val="008F319C"/>
    <w:rsid w:val="00907EA0"/>
    <w:rsid w:val="00914D1F"/>
    <w:rsid w:val="00920452"/>
    <w:rsid w:val="009321CB"/>
    <w:rsid w:val="00975199"/>
    <w:rsid w:val="00982712"/>
    <w:rsid w:val="00983644"/>
    <w:rsid w:val="00983C4C"/>
    <w:rsid w:val="009902F8"/>
    <w:rsid w:val="009B2372"/>
    <w:rsid w:val="009B4A94"/>
    <w:rsid w:val="009E0C9A"/>
    <w:rsid w:val="00A0220C"/>
    <w:rsid w:val="00A10AB0"/>
    <w:rsid w:val="00A12E24"/>
    <w:rsid w:val="00A16738"/>
    <w:rsid w:val="00A33422"/>
    <w:rsid w:val="00A50CE1"/>
    <w:rsid w:val="00A7549D"/>
    <w:rsid w:val="00AA64B2"/>
    <w:rsid w:val="00AD3744"/>
    <w:rsid w:val="00AE2319"/>
    <w:rsid w:val="00B15000"/>
    <w:rsid w:val="00B1646D"/>
    <w:rsid w:val="00B4271F"/>
    <w:rsid w:val="00B55013"/>
    <w:rsid w:val="00B65194"/>
    <w:rsid w:val="00B836EC"/>
    <w:rsid w:val="00B92047"/>
    <w:rsid w:val="00B97F48"/>
    <w:rsid w:val="00BA0253"/>
    <w:rsid w:val="00BC6950"/>
    <w:rsid w:val="00BD1E3C"/>
    <w:rsid w:val="00BD5C60"/>
    <w:rsid w:val="00BF5C5C"/>
    <w:rsid w:val="00C03B2D"/>
    <w:rsid w:val="00C20993"/>
    <w:rsid w:val="00C325E5"/>
    <w:rsid w:val="00C36F44"/>
    <w:rsid w:val="00C40770"/>
    <w:rsid w:val="00C902E6"/>
    <w:rsid w:val="00CA0C5D"/>
    <w:rsid w:val="00CA373C"/>
    <w:rsid w:val="00CA6EA0"/>
    <w:rsid w:val="00CB04D8"/>
    <w:rsid w:val="00CC5396"/>
    <w:rsid w:val="00D116D5"/>
    <w:rsid w:val="00D13C67"/>
    <w:rsid w:val="00D26527"/>
    <w:rsid w:val="00D31277"/>
    <w:rsid w:val="00D53E96"/>
    <w:rsid w:val="00D57F9F"/>
    <w:rsid w:val="00D64BBC"/>
    <w:rsid w:val="00D95FB2"/>
    <w:rsid w:val="00DB54C8"/>
    <w:rsid w:val="00DB5723"/>
    <w:rsid w:val="00DD2AA7"/>
    <w:rsid w:val="00E00316"/>
    <w:rsid w:val="00E26AF0"/>
    <w:rsid w:val="00E2792E"/>
    <w:rsid w:val="00E34465"/>
    <w:rsid w:val="00E36710"/>
    <w:rsid w:val="00E41748"/>
    <w:rsid w:val="00E5342F"/>
    <w:rsid w:val="00E74A0F"/>
    <w:rsid w:val="00E8765B"/>
    <w:rsid w:val="00E94AF6"/>
    <w:rsid w:val="00EA59CD"/>
    <w:rsid w:val="00EE4C8D"/>
    <w:rsid w:val="00F0109B"/>
    <w:rsid w:val="00F10DCC"/>
    <w:rsid w:val="00F12B31"/>
    <w:rsid w:val="00F14CEB"/>
    <w:rsid w:val="00F151AE"/>
    <w:rsid w:val="00F15CA8"/>
    <w:rsid w:val="00F22B7F"/>
    <w:rsid w:val="00F25A38"/>
    <w:rsid w:val="00F355DF"/>
    <w:rsid w:val="00F46643"/>
    <w:rsid w:val="00F710A1"/>
    <w:rsid w:val="00F80B36"/>
    <w:rsid w:val="00F90446"/>
    <w:rsid w:val="00F97DC3"/>
    <w:rsid w:val="00F97E93"/>
    <w:rsid w:val="00FA4FFA"/>
    <w:rsid w:val="00FB7FE1"/>
    <w:rsid w:val="00FC56CE"/>
    <w:rsid w:val="00FE799A"/>
    <w:rsid w:val="00FF2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911FF7"/>
  <w15:chartTrackingRefBased/>
  <w15:docId w15:val="{FA67FAA0-E7EC-478B-9323-011FD39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18"/>
      </w:tabs>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semiHidden/>
    <w:pPr>
      <w:tabs>
        <w:tab w:val="left" w:pos="1418"/>
        <w:tab w:val="right" w:pos="10206"/>
      </w:tabs>
      <w:ind w:left="1418" w:hanging="1418"/>
    </w:pPr>
    <w:rPr>
      <w:sz w:val="24"/>
    </w:rPr>
  </w:style>
  <w:style w:type="paragraph" w:styleId="Rodap">
    <w:name w:val="footer"/>
    <w:semiHidden/>
    <w:pPr>
      <w:tabs>
        <w:tab w:val="left" w:pos="1418"/>
        <w:tab w:val="left" w:pos="2835"/>
        <w:tab w:val="center" w:pos="5103"/>
        <w:tab w:val="right" w:pos="10206"/>
      </w:tabs>
      <w:jc w:val="both"/>
    </w:pPr>
    <w:rPr>
      <w:sz w:val="24"/>
    </w:rPr>
  </w:style>
  <w:style w:type="character" w:styleId="Nmerodepgina">
    <w:name w:val="page number"/>
    <w:semiHidden/>
    <w:rPr>
      <w:rFonts w:ascii="Times New Roman" w:hAnsi="Times New Roman"/>
      <w:sz w:val="24"/>
    </w:rPr>
  </w:style>
  <w:style w:type="paragraph" w:customStyle="1" w:styleId="ementa">
    <w:name w:val="ementa"/>
    <w:next w:val="Normal"/>
    <w:autoRedefine/>
    <w:pPr>
      <w:tabs>
        <w:tab w:val="left" w:pos="1418"/>
      </w:tabs>
      <w:ind w:left="5103"/>
      <w:jc w:val="both"/>
    </w:pPr>
    <w:rPr>
      <w:sz w:val="24"/>
    </w:rPr>
  </w:style>
  <w:style w:type="paragraph" w:customStyle="1" w:styleId="fecho">
    <w:name w:val="fecho"/>
    <w:basedOn w:val="Normal"/>
    <w:next w:val="Normal"/>
    <w:pPr>
      <w:ind w:left="5103"/>
    </w:pPr>
  </w:style>
  <w:style w:type="paragraph" w:customStyle="1" w:styleId="ttulo">
    <w:name w:val="título"/>
    <w:next w:val="ementa"/>
    <w:autoRedefine/>
    <w:pPr>
      <w:spacing w:after="480"/>
      <w:jc w:val="center"/>
    </w:pPr>
    <w:rPr>
      <w:smallCaps/>
      <w:sz w:val="24"/>
    </w:r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1"/>
      </w:numPr>
      <w:suppressLineNumbers/>
      <w:tabs>
        <w:tab w:val="clear" w:pos="1418"/>
        <w:tab w:val="left" w:pos="1701"/>
      </w:tabs>
      <w:spacing w:after="240"/>
    </w:pPr>
  </w:style>
  <w:style w:type="paragraph" w:styleId="MapadoDocumento">
    <w:name w:val="Document Map"/>
    <w:basedOn w:val="Normal"/>
    <w:semiHidden/>
    <w:pPr>
      <w:shd w:val="clear" w:color="auto" w:fill="000080"/>
    </w:pPr>
    <w:rPr>
      <w:rFonts w:ascii="Tahoma" w:hAnsi="Tahoma"/>
    </w:rPr>
  </w:style>
  <w:style w:type="paragraph" w:styleId="TextosemFormatao">
    <w:name w:val="Plain Text"/>
    <w:basedOn w:val="Normal"/>
    <w:semiHidden/>
    <w:pPr>
      <w:tabs>
        <w:tab w:val="clear" w:pos="1418"/>
      </w:tabs>
      <w:jc w:val="left"/>
    </w:pPr>
    <w:rPr>
      <w:rFonts w:ascii="Courier New" w:hAnsi="Courier New"/>
      <w:sz w:val="20"/>
    </w:rPr>
  </w:style>
  <w:style w:type="paragraph" w:styleId="Recuodecorpodetexto2">
    <w:name w:val="Body Text Indent 2"/>
    <w:basedOn w:val="Normal"/>
    <w:semiHidden/>
    <w:pPr>
      <w:ind w:left="709"/>
    </w:pPr>
  </w:style>
  <w:style w:type="paragraph" w:styleId="Corpodetexto">
    <w:name w:val="Body Text"/>
    <w:basedOn w:val="Normal"/>
    <w:semiHidden/>
    <w:pPr>
      <w:ind w:right="708"/>
    </w:pPr>
  </w:style>
  <w:style w:type="paragraph" w:customStyle="1" w:styleId="Linha">
    <w:name w:val="Linha"/>
    <w:basedOn w:val="Normal"/>
    <w:next w:val="Normal"/>
    <w:pPr>
      <w:tabs>
        <w:tab w:val="clear" w:pos="1418"/>
        <w:tab w:val="right" w:leader="underscore" w:pos="10206"/>
      </w:tabs>
    </w:pPr>
  </w:style>
  <w:style w:type="paragraph" w:styleId="Recuodecorpodetexto3">
    <w:name w:val="Body Text Indent 3"/>
    <w:basedOn w:val="Normal"/>
    <w:semiHidden/>
    <w:pPr>
      <w:tabs>
        <w:tab w:val="clear" w:pos="1418"/>
      </w:tabs>
      <w:ind w:firstLine="1440"/>
    </w:pPr>
  </w:style>
  <w:style w:type="paragraph" w:customStyle="1" w:styleId="Identificao">
    <w:name w:val="Identificação"/>
    <w:basedOn w:val="Normal"/>
    <w:pPr>
      <w:tabs>
        <w:tab w:val="clear" w:pos="1418"/>
      </w:tabs>
    </w:pPr>
  </w:style>
  <w:style w:type="paragraph" w:styleId="Recuodecorpodetexto">
    <w:name w:val="Body Text Indent"/>
    <w:basedOn w:val="Normal"/>
    <w:semiHidden/>
    <w:pPr>
      <w:tabs>
        <w:tab w:val="clear" w:pos="1418"/>
      </w:tabs>
      <w:ind w:left="-100" w:firstLine="1540"/>
    </w:pPr>
  </w:style>
  <w:style w:type="paragraph" w:styleId="Corpodetexto3">
    <w:name w:val="Body Text 3"/>
    <w:basedOn w:val="Normal"/>
    <w:semiHidden/>
    <w:pPr>
      <w:tabs>
        <w:tab w:val="clear" w:pos="1418"/>
      </w:tabs>
    </w:pPr>
    <w:rPr>
      <w:sz w:val="22"/>
    </w:rPr>
  </w:style>
  <w:style w:type="paragraph" w:styleId="Corpodetexto2">
    <w:name w:val="Body Text 2"/>
    <w:basedOn w:val="Normal"/>
    <w:semiHidden/>
    <w:rPr>
      <w:color w:val="000000"/>
    </w:rPr>
  </w:style>
  <w:style w:type="paragraph" w:styleId="Textoembloco">
    <w:name w:val="Block Text"/>
    <w:basedOn w:val="Normal"/>
    <w:semiHidden/>
    <w:pPr>
      <w:tabs>
        <w:tab w:val="clear" w:pos="1418"/>
        <w:tab w:val="left" w:pos="1440"/>
      </w:tabs>
      <w:ind w:left="1418" w:right="708"/>
    </w:pPr>
    <w:rPr>
      <w:color w:val="000000"/>
    </w:rPr>
  </w:style>
  <w:style w:type="paragraph" w:styleId="Textodebalo">
    <w:name w:val="Balloon Text"/>
    <w:basedOn w:val="Normal"/>
    <w:semiHidden/>
    <w:rPr>
      <w:rFonts w:ascii="Tahoma" w:hAnsi="Tahoma" w:cs="Tahoma"/>
      <w:sz w:val="16"/>
      <w:szCs w:val="16"/>
    </w:rPr>
  </w:style>
  <w:style w:type="paragraph" w:styleId="Reviso">
    <w:name w:val="Revision"/>
    <w:hidden/>
    <w:semiHidden/>
    <w:rPr>
      <w:sz w:val="24"/>
    </w:rPr>
  </w:style>
  <w:style w:type="character" w:customStyle="1" w:styleId="TextosemFormataoChar">
    <w:name w:val="Texto sem Formatação Char"/>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092">
      <w:bodyDiv w:val="1"/>
      <w:marLeft w:val="0"/>
      <w:marRight w:val="0"/>
      <w:marTop w:val="0"/>
      <w:marBottom w:val="0"/>
      <w:divBdr>
        <w:top w:val="none" w:sz="0" w:space="0" w:color="auto"/>
        <w:left w:val="none" w:sz="0" w:space="0" w:color="auto"/>
        <w:bottom w:val="none" w:sz="0" w:space="0" w:color="auto"/>
        <w:right w:val="none" w:sz="0" w:space="0" w:color="auto"/>
      </w:divBdr>
    </w:div>
    <w:div w:id="9798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Modelos\DENOR\Modelo%20Ajuste%20Res%20Ru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AA72-0A27-4DA3-BDAB-87D5CF6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Ajuste Res Rural.dot</Template>
  <TotalTime>309</TotalTime>
  <Pages>3</Pages>
  <Words>2014</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RESOLUÇÃO Nº</vt:lpstr>
    </vt:vector>
  </TitlesOfParts>
  <Company>Banco Central do Brasil</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subject/>
  <dc:creator>mara lucia ferreira mello</dc:creator>
  <cp:keywords/>
  <cp:lastModifiedBy>Pedro Jordao Salino</cp:lastModifiedBy>
  <cp:revision>94</cp:revision>
  <cp:lastPrinted>2018-02-27T19:18:00Z</cp:lastPrinted>
  <dcterms:created xsi:type="dcterms:W3CDTF">2018-02-27T13:52:00Z</dcterms:created>
  <dcterms:modified xsi:type="dcterms:W3CDTF">2023-07-17T12:38:00Z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