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4BF5" w14:textId="77777777" w:rsidR="00F22B6F" w:rsidRPr="009472F5" w:rsidRDefault="00F22B6F" w:rsidP="00710DFC">
      <w:pPr>
        <w:pStyle w:val="Cabealho"/>
        <w:tabs>
          <w:tab w:val="clear" w:pos="4419"/>
          <w:tab w:val="clear" w:pos="8838"/>
          <w:tab w:val="left" w:pos="993"/>
          <w:tab w:val="right" w:pos="9639"/>
          <w:tab w:val="right" w:pos="9923"/>
        </w:tabs>
      </w:pPr>
      <w:r w:rsidRPr="009472F5">
        <w:t>TÍTULO</w:t>
      </w:r>
      <w:r w:rsidRPr="009472F5">
        <w:tab/>
        <w:t>: CRÉDITO RURAL</w:t>
      </w:r>
      <w:r w:rsidRPr="009472F5">
        <w:tab/>
      </w:r>
      <w:r w:rsidRPr="009472F5">
        <w:fldChar w:fldCharType="begin"/>
      </w:r>
      <w:r w:rsidRPr="009472F5">
        <w:instrText xml:space="preserve"> PAGE  \* MERGEFORMAT </w:instrText>
      </w:r>
      <w:r w:rsidRPr="009472F5">
        <w:fldChar w:fldCharType="separate"/>
      </w:r>
      <w:r w:rsidR="00D97A9D" w:rsidRPr="009472F5">
        <w:rPr>
          <w:noProof/>
        </w:rPr>
        <w:t>1</w:t>
      </w:r>
      <w:r w:rsidRPr="009472F5">
        <w:fldChar w:fldCharType="end"/>
      </w:r>
    </w:p>
    <w:p w14:paraId="264FCC06" w14:textId="77777777" w:rsidR="00F22B6F" w:rsidRPr="009472F5" w:rsidRDefault="00F22B6F" w:rsidP="00710DFC">
      <w:pPr>
        <w:pStyle w:val="Cabealho"/>
        <w:tabs>
          <w:tab w:val="clear" w:pos="4419"/>
          <w:tab w:val="clear" w:pos="8838"/>
          <w:tab w:val="left" w:pos="993"/>
          <w:tab w:val="right" w:pos="9639"/>
          <w:tab w:val="right" w:pos="9923"/>
        </w:tabs>
      </w:pPr>
      <w:r w:rsidRPr="009472F5">
        <w:t>CAPÍTULO</w:t>
      </w:r>
      <w:r w:rsidRPr="009472F5">
        <w:tab/>
        <w:t xml:space="preserve">: </w:t>
      </w:r>
      <w:r w:rsidR="00763804" w:rsidRPr="009472F5">
        <w:t>Condições Básicas - 2</w:t>
      </w:r>
    </w:p>
    <w:p w14:paraId="5E52C9BC" w14:textId="50E2628B" w:rsidR="00F22B6F" w:rsidRPr="009472F5" w:rsidRDefault="00F22B6F" w:rsidP="00C1289A">
      <w:pPr>
        <w:pStyle w:val="Cabealho"/>
        <w:tabs>
          <w:tab w:val="clear" w:pos="4419"/>
          <w:tab w:val="clear" w:pos="8838"/>
          <w:tab w:val="left" w:pos="993"/>
          <w:tab w:val="right" w:pos="9923"/>
        </w:tabs>
        <w:ind w:left="1134" w:hanging="1134"/>
      </w:pPr>
      <w:r w:rsidRPr="009472F5">
        <w:t>SEÇÃO</w:t>
      </w:r>
      <w:r w:rsidRPr="009472F5">
        <w:tab/>
        <w:t xml:space="preserve">: </w:t>
      </w:r>
      <w:r w:rsidR="00D6205A" w:rsidRPr="009472F5">
        <w:t xml:space="preserve">Metodologia de cálculo das </w:t>
      </w:r>
      <w:r w:rsidR="00A77CE2" w:rsidRPr="009472F5">
        <w:t>Taxas de Juros Rurais dos Fundos Constitucionais de Financiamento (TRFC)</w:t>
      </w:r>
      <w:r w:rsidR="00964959" w:rsidRPr="009472F5">
        <w:t xml:space="preserve"> </w:t>
      </w:r>
      <w:r w:rsidR="00984F98" w:rsidRPr="009472F5">
        <w:t>-</w:t>
      </w:r>
      <w:r w:rsidR="00763804" w:rsidRPr="009472F5">
        <w:t xml:space="preserve"> </w:t>
      </w:r>
      <w:r w:rsidR="00984F98" w:rsidRPr="009472F5">
        <w:t>4-</w:t>
      </w:r>
      <w:r w:rsidR="006A21B7" w:rsidRPr="009472F5">
        <w:t>A</w:t>
      </w:r>
    </w:p>
    <w:p w14:paraId="29121D0C" w14:textId="77777777" w:rsidR="00F22B6F" w:rsidRPr="009472F5" w:rsidRDefault="00F22B6F" w:rsidP="00710DFC">
      <w:pPr>
        <w:pStyle w:val="Cabealho"/>
        <w:tabs>
          <w:tab w:val="clear" w:pos="4419"/>
          <w:tab w:val="clear" w:pos="8838"/>
          <w:tab w:val="left" w:pos="993"/>
          <w:tab w:val="right" w:pos="9639"/>
          <w:tab w:val="right" w:pos="9923"/>
        </w:tabs>
      </w:pPr>
      <w:r w:rsidRPr="009472F5">
        <w:t>_____________________________________________________________________________________________</w:t>
      </w:r>
    </w:p>
    <w:p w14:paraId="36F1107B" w14:textId="77777777" w:rsidR="00F22B6F" w:rsidRPr="009472F5" w:rsidRDefault="00F22B6F" w:rsidP="00710DFC">
      <w:pPr>
        <w:tabs>
          <w:tab w:val="right" w:pos="9923"/>
          <w:tab w:val="right" w:pos="10064"/>
        </w:tabs>
        <w:jc w:val="both"/>
      </w:pPr>
    </w:p>
    <w:p w14:paraId="608248C6" w14:textId="65D1D43B" w:rsidR="007B0E1A" w:rsidRPr="009472F5" w:rsidRDefault="00BF2B4A" w:rsidP="007B0E1A">
      <w:pPr>
        <w:tabs>
          <w:tab w:val="right" w:pos="9923"/>
          <w:tab w:val="right" w:pos="10064"/>
        </w:tabs>
        <w:spacing w:after="120"/>
        <w:ind w:left="284" w:right="-1" w:hanging="284"/>
        <w:jc w:val="both"/>
      </w:pPr>
      <w:r w:rsidRPr="009472F5">
        <w:t>1</w:t>
      </w:r>
      <w:r w:rsidR="00D9269B" w:rsidRPr="009472F5">
        <w:t xml:space="preserve"> </w:t>
      </w:r>
      <w:r w:rsidR="00984F98" w:rsidRPr="009472F5">
        <w:t>-</w:t>
      </w:r>
      <w:r w:rsidR="00D9269B" w:rsidRPr="009472F5">
        <w:t xml:space="preserve"> </w:t>
      </w:r>
      <w:r w:rsidR="007B0E1A" w:rsidRPr="009472F5">
        <w:t xml:space="preserve">Esta Seção dispõe sobre a metodologia para definição das taxas de juros aplicáveis às operações de crédito rural realizadas com recursos dos Fundos Constitucionais de Financiamento, denominadas Taxas de Juros Rurais dos Fundos Constitucionais de Financiamento (TRFC). </w:t>
      </w:r>
      <w:r w:rsidR="00946328" w:rsidRPr="009472F5">
        <w:t xml:space="preserve">(Res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p>
    <w:p w14:paraId="012EB830" w14:textId="58856423" w:rsidR="007B0E1A" w:rsidRPr="009472F5" w:rsidRDefault="007B0E1A" w:rsidP="007B0E1A">
      <w:pPr>
        <w:tabs>
          <w:tab w:val="right" w:pos="9923"/>
          <w:tab w:val="right" w:pos="10064"/>
        </w:tabs>
        <w:spacing w:after="120"/>
        <w:ind w:left="284" w:right="-1" w:hanging="284"/>
        <w:jc w:val="both"/>
      </w:pPr>
      <w:r w:rsidRPr="008552B2">
        <w:t xml:space="preserve">2 - </w:t>
      </w:r>
      <w:r w:rsidR="00F979AB" w:rsidRPr="008552B2">
        <w:t>A apuração do saldo devedor das operações de crédito rural referidas no item 1, mediante a aplicação das TRFC, deve observar o disposto na Seção 3 deste Capítulo, para fins de apuração dos respectivos saldos diários.</w:t>
      </w:r>
      <w:r w:rsidRPr="008552B2">
        <w:t xml:space="preserve"> </w:t>
      </w:r>
      <w:r w:rsidR="00946328" w:rsidRPr="008552B2">
        <w:t xml:space="preserve">(Res </w:t>
      </w:r>
      <w:r w:rsidR="0070612F" w:rsidRPr="008552B2">
        <w:t>CMN</w:t>
      </w:r>
      <w:r w:rsidR="00F979AB" w:rsidRPr="008552B2">
        <w:t xml:space="preserve"> 5.065</w:t>
      </w:r>
      <w:r w:rsidR="00946328" w:rsidRPr="008552B2">
        <w:t xml:space="preserve"> </w:t>
      </w:r>
      <w:proofErr w:type="spellStart"/>
      <w:r w:rsidR="00946328" w:rsidRPr="008552B2">
        <w:t>art</w:t>
      </w:r>
      <w:proofErr w:type="spellEnd"/>
      <w:r w:rsidR="00946328" w:rsidRPr="008552B2">
        <w:t xml:space="preserve"> </w:t>
      </w:r>
      <w:r w:rsidR="00F979AB" w:rsidRPr="008552B2">
        <w:t>2</w:t>
      </w:r>
      <w:r w:rsidR="00946328" w:rsidRPr="008552B2">
        <w:t>º)</w:t>
      </w:r>
    </w:p>
    <w:p w14:paraId="785CBE42" w14:textId="2E3F9120" w:rsidR="007B0E1A" w:rsidRPr="009472F5" w:rsidRDefault="007B0E1A" w:rsidP="007B0E1A">
      <w:pPr>
        <w:tabs>
          <w:tab w:val="right" w:pos="9923"/>
          <w:tab w:val="right" w:pos="10064"/>
        </w:tabs>
        <w:ind w:left="284" w:right="-1" w:hanging="284"/>
        <w:jc w:val="both"/>
      </w:pPr>
      <w:r w:rsidRPr="009472F5">
        <w:t>3 - Ficam estabelecidas as seguintes metodologias de cálculo das TRFC incidentes em operações de crédito rural realizadas com recursos do Fundos Constitucionais de Financiamento do Norte (FNO), do Nordeste (FNE) e do Centro-Oeste (FCO), exceto as do Programa Nacional de Fortalecimento da Agricultura Familiar (Pronaf):</w:t>
      </w:r>
      <w:r w:rsidR="00946328" w:rsidRPr="009472F5">
        <w:t xml:space="preserve"> (Res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r w:rsidRPr="009472F5">
        <w:t xml:space="preserve"> </w:t>
      </w:r>
    </w:p>
    <w:bookmarkStart w:id="0" w:name="_MON_1591702366"/>
    <w:bookmarkEnd w:id="0"/>
    <w:p w14:paraId="18FBEC5B" w14:textId="77777777" w:rsidR="007B0E1A" w:rsidRPr="009472F5" w:rsidRDefault="007B0E1A" w:rsidP="007B0E1A">
      <w:pPr>
        <w:tabs>
          <w:tab w:val="right" w:pos="9923"/>
          <w:tab w:val="right" w:pos="10064"/>
        </w:tabs>
        <w:ind w:left="567" w:right="-1" w:hanging="283"/>
        <w:jc w:val="both"/>
      </w:pPr>
      <w:r w:rsidRPr="009472F5">
        <w:object w:dxaOrig="5879" w:dyaOrig="264" w14:anchorId="67893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11.7pt" o:ole="">
            <v:imagedata r:id="rId8" o:title=""/>
          </v:shape>
          <o:OLEObject Type="Embed" ProgID="Word.Document.12" ShapeID="_x0000_i1025" DrawAspect="Content" ObjectID="_1751091495" r:id="rId9">
            <o:FieldCodes>\s</o:FieldCodes>
          </o:OLEObject>
        </w:object>
      </w:r>
    </w:p>
    <w:bookmarkStart w:id="1" w:name="_MON_1591702419"/>
    <w:bookmarkEnd w:id="1"/>
    <w:p w14:paraId="13A7202D" w14:textId="77777777" w:rsidR="007B0E1A" w:rsidRPr="009472F5" w:rsidRDefault="007B0E1A" w:rsidP="007B0E1A">
      <w:pPr>
        <w:tabs>
          <w:tab w:val="right" w:pos="9923"/>
          <w:tab w:val="right" w:pos="10064"/>
        </w:tabs>
        <w:spacing w:after="120"/>
        <w:ind w:left="567" w:right="-1" w:hanging="283"/>
        <w:jc w:val="both"/>
      </w:pPr>
      <w:r w:rsidRPr="009472F5">
        <w:object w:dxaOrig="5894" w:dyaOrig="289" w14:anchorId="17064D80">
          <v:shape id="_x0000_i1026" type="#_x0000_t75" style="width:294.15pt;height:11.7pt" o:ole="">
            <v:imagedata r:id="rId10" o:title=""/>
          </v:shape>
          <o:OLEObject Type="Embed" ProgID="Word.Document.12" ShapeID="_x0000_i1026" DrawAspect="Content" ObjectID="_1751091496" r:id="rId11">
            <o:FieldCodes>\s</o:FieldCodes>
          </o:OLEObject>
        </w:object>
      </w:r>
    </w:p>
    <w:p w14:paraId="0D8A0BE8" w14:textId="3DF0F557" w:rsidR="007B0E1A" w:rsidRPr="009472F5" w:rsidRDefault="007B0E1A" w:rsidP="007B0E1A">
      <w:pPr>
        <w:tabs>
          <w:tab w:val="right" w:pos="9923"/>
          <w:tab w:val="right" w:pos="10064"/>
        </w:tabs>
        <w:ind w:left="284" w:right="-1" w:hanging="284"/>
        <w:jc w:val="both"/>
      </w:pPr>
      <w:r w:rsidRPr="008552B2">
        <w:t>4 - As siglas mencionadas nas metodologias de que trata esta Seção possuem as seguintes definições:</w:t>
      </w:r>
      <w:r w:rsidR="00946328" w:rsidRPr="008552B2">
        <w:t xml:space="preserve"> (Res</w:t>
      </w:r>
      <w:r w:rsidR="0070612F" w:rsidRPr="008552B2">
        <w:t xml:space="preserve"> CMN</w:t>
      </w:r>
      <w:r w:rsidR="00946328" w:rsidRPr="008552B2">
        <w:t xml:space="preserve"> 4.883 </w:t>
      </w:r>
      <w:proofErr w:type="spellStart"/>
      <w:r w:rsidR="00946328" w:rsidRPr="008552B2">
        <w:t>art</w:t>
      </w:r>
      <w:proofErr w:type="spellEnd"/>
      <w:r w:rsidR="00946328" w:rsidRPr="008552B2">
        <w:t xml:space="preserve"> 1º</w:t>
      </w:r>
      <w:r w:rsidR="008D1405" w:rsidRPr="008552B2">
        <w:t xml:space="preserve">; Res CMN 4.920 </w:t>
      </w:r>
      <w:proofErr w:type="spellStart"/>
      <w:r w:rsidR="008D1405" w:rsidRPr="008552B2">
        <w:t>art</w:t>
      </w:r>
      <w:proofErr w:type="spellEnd"/>
      <w:r w:rsidR="008D1405" w:rsidRPr="008552B2">
        <w:t xml:space="preserve"> 1º</w:t>
      </w:r>
      <w:r w:rsidR="00F979AB" w:rsidRPr="008552B2">
        <w:t>; Res CMN 5.065 art. 2º</w:t>
      </w:r>
      <w:r w:rsidR="00946328" w:rsidRPr="008552B2">
        <w:t>)</w:t>
      </w:r>
      <w:r w:rsidRPr="009472F5">
        <w:t xml:space="preserve"> </w:t>
      </w:r>
    </w:p>
    <w:p w14:paraId="03F7878B" w14:textId="0CF94624" w:rsidR="007B0E1A" w:rsidRPr="009472F5" w:rsidRDefault="007B0E1A" w:rsidP="007B0E1A">
      <w:pPr>
        <w:tabs>
          <w:tab w:val="right" w:pos="9923"/>
          <w:tab w:val="right" w:pos="10064"/>
        </w:tabs>
        <w:ind w:left="567" w:right="-1" w:hanging="284"/>
        <w:jc w:val="both"/>
      </w:pPr>
      <w:r w:rsidRPr="009472F5">
        <w:t xml:space="preserve">a) </w:t>
      </w:r>
      <w:proofErr w:type="spellStart"/>
      <w:r w:rsidRPr="009472F5">
        <w:t>TRFC</w:t>
      </w:r>
      <w:r w:rsidRPr="009472F5">
        <w:rPr>
          <w:vertAlign w:val="superscript"/>
        </w:rPr>
        <w:t>pós</w:t>
      </w:r>
      <w:proofErr w:type="spellEnd"/>
      <w:r w:rsidRPr="009472F5">
        <w:t xml:space="preserve"> corresponde à Taxa de Juros Rural dos Fundos Constitucionais de Financiamento pós-fixada;</w:t>
      </w:r>
      <w:r w:rsidR="008D1405" w:rsidRPr="009472F5">
        <w:t xml:space="preserve"> (Res CMN 4.883 </w:t>
      </w:r>
      <w:proofErr w:type="spellStart"/>
      <w:r w:rsidR="008D1405" w:rsidRPr="009472F5">
        <w:t>art</w:t>
      </w:r>
      <w:proofErr w:type="spellEnd"/>
      <w:r w:rsidR="008D1405" w:rsidRPr="009472F5">
        <w:t xml:space="preserve"> 1º)</w:t>
      </w:r>
    </w:p>
    <w:p w14:paraId="4A17A52E" w14:textId="51A699AD" w:rsidR="007B0E1A" w:rsidRPr="009472F5" w:rsidRDefault="007B0E1A" w:rsidP="007B0E1A">
      <w:pPr>
        <w:tabs>
          <w:tab w:val="right" w:pos="9923"/>
          <w:tab w:val="right" w:pos="10064"/>
        </w:tabs>
        <w:ind w:left="567" w:right="-1" w:hanging="284"/>
        <w:jc w:val="both"/>
      </w:pPr>
      <w:r w:rsidRPr="009472F5">
        <w:t xml:space="preserve">b) </w:t>
      </w:r>
      <w:proofErr w:type="spellStart"/>
      <w:r w:rsidRPr="009472F5">
        <w:t>TRFC</w:t>
      </w:r>
      <w:r w:rsidRPr="009472F5">
        <w:rPr>
          <w:vertAlign w:val="superscript"/>
        </w:rPr>
        <w:t>pré</w:t>
      </w:r>
      <w:proofErr w:type="spellEnd"/>
      <w:r w:rsidRPr="009472F5">
        <w:t xml:space="preserve"> corresponde à Taxa de Juros Rural dos Fundos Constitucionais de Financiamento prefixada;</w:t>
      </w:r>
      <w:r w:rsidR="008D1405" w:rsidRPr="009472F5">
        <w:t xml:space="preserve"> (Res CMN 4.883 </w:t>
      </w:r>
      <w:proofErr w:type="spellStart"/>
      <w:r w:rsidR="008D1405" w:rsidRPr="009472F5">
        <w:t>art</w:t>
      </w:r>
      <w:proofErr w:type="spellEnd"/>
      <w:r w:rsidR="008D1405" w:rsidRPr="009472F5">
        <w:t xml:space="preserve"> 1º)</w:t>
      </w:r>
    </w:p>
    <w:p w14:paraId="0828ACB5" w14:textId="7DABC65A" w:rsidR="007B0E1A" w:rsidRPr="009472F5" w:rsidRDefault="007B0E1A" w:rsidP="007B0E1A">
      <w:pPr>
        <w:tabs>
          <w:tab w:val="right" w:pos="9923"/>
          <w:tab w:val="right" w:pos="10064"/>
        </w:tabs>
        <w:ind w:left="567" w:right="-1" w:hanging="284"/>
        <w:jc w:val="both"/>
      </w:pPr>
      <w:r w:rsidRPr="009472F5">
        <w:t>c) FAM corresponde ao Fator de Atualização Monetária, apurado conforme metodologia definida nesta Seção;</w:t>
      </w:r>
      <w:r w:rsidR="008D1405" w:rsidRPr="009472F5">
        <w:t xml:space="preserve"> (Res CMN 4.883 </w:t>
      </w:r>
      <w:proofErr w:type="spellStart"/>
      <w:r w:rsidR="008D1405" w:rsidRPr="009472F5">
        <w:t>art</w:t>
      </w:r>
      <w:proofErr w:type="spellEnd"/>
      <w:r w:rsidR="008D1405" w:rsidRPr="009472F5">
        <w:t xml:space="preserve"> 1º)</w:t>
      </w:r>
    </w:p>
    <w:p w14:paraId="1B764AD0" w14:textId="17D98E6F" w:rsidR="007B0E1A" w:rsidRPr="009472F5" w:rsidRDefault="007B0E1A" w:rsidP="007B0E1A">
      <w:pPr>
        <w:tabs>
          <w:tab w:val="right" w:pos="9923"/>
          <w:tab w:val="right" w:pos="10064"/>
        </w:tabs>
        <w:ind w:left="567" w:right="-1" w:hanging="284"/>
        <w:jc w:val="both"/>
      </w:pPr>
      <w:r w:rsidRPr="008552B2">
        <w:t xml:space="preserve">d) </w:t>
      </w:r>
      <w:r w:rsidR="00F979AB" w:rsidRPr="008552B2">
        <w:t>FII corresponde ao Fator de Inflação Implícita, apurado conforme metodologia definida no MCR 2-4-9;</w:t>
      </w:r>
      <w:r w:rsidR="008D1405" w:rsidRPr="008552B2">
        <w:t xml:space="preserve"> (Res CMN </w:t>
      </w:r>
      <w:r w:rsidR="00F979AB" w:rsidRPr="008552B2">
        <w:t>5.065</w:t>
      </w:r>
      <w:r w:rsidR="008D1405" w:rsidRPr="008552B2">
        <w:t xml:space="preserve"> </w:t>
      </w:r>
      <w:proofErr w:type="spellStart"/>
      <w:r w:rsidR="008D1405" w:rsidRPr="008552B2">
        <w:t>art</w:t>
      </w:r>
      <w:proofErr w:type="spellEnd"/>
      <w:r w:rsidR="008D1405" w:rsidRPr="008552B2">
        <w:t xml:space="preserve"> </w:t>
      </w:r>
      <w:r w:rsidR="00F979AB" w:rsidRPr="008552B2">
        <w:t>2</w:t>
      </w:r>
      <w:r w:rsidR="008D1405" w:rsidRPr="008552B2">
        <w:t>º)</w:t>
      </w:r>
    </w:p>
    <w:p w14:paraId="2420C3BD" w14:textId="6E61AFF5" w:rsidR="007B0E1A" w:rsidRPr="009472F5" w:rsidRDefault="007B0E1A" w:rsidP="007B0E1A">
      <w:pPr>
        <w:tabs>
          <w:tab w:val="right" w:pos="9923"/>
          <w:tab w:val="right" w:pos="10064"/>
        </w:tabs>
        <w:ind w:left="567" w:right="-1" w:hanging="284"/>
        <w:jc w:val="both"/>
      </w:pPr>
      <w:r w:rsidRPr="009472F5">
        <w:t>e) BA corresponde ao Bônus de Adimplência aplicado aos encargos financeiros, da seguinte forma:</w:t>
      </w:r>
      <w:r w:rsidR="008D1405" w:rsidRPr="009472F5">
        <w:t xml:space="preserve"> (Res CMN 4.883 </w:t>
      </w:r>
      <w:proofErr w:type="spellStart"/>
      <w:r w:rsidR="008D1405" w:rsidRPr="009472F5">
        <w:t>art</w:t>
      </w:r>
      <w:proofErr w:type="spellEnd"/>
      <w:r w:rsidR="008D1405" w:rsidRPr="009472F5">
        <w:t xml:space="preserve"> 1º; Res CMN 4.920 </w:t>
      </w:r>
      <w:proofErr w:type="spellStart"/>
      <w:r w:rsidR="008D1405" w:rsidRPr="009472F5">
        <w:t>art</w:t>
      </w:r>
      <w:proofErr w:type="spellEnd"/>
      <w:r w:rsidR="008D1405" w:rsidRPr="009472F5">
        <w:t xml:space="preserve"> 1º)</w:t>
      </w:r>
    </w:p>
    <w:p w14:paraId="48DC4080" w14:textId="7DAF6CEE" w:rsidR="00C355DD" w:rsidRPr="009472F5" w:rsidRDefault="00C355DD" w:rsidP="00C355DD">
      <w:pPr>
        <w:tabs>
          <w:tab w:val="right" w:pos="9923"/>
        </w:tabs>
        <w:ind w:left="851" w:right="-1" w:hanging="284"/>
        <w:jc w:val="both"/>
      </w:pPr>
      <w:r w:rsidRPr="009472F5">
        <w:t>I - oitenta e cinco centésimos para os produtores rurais e suas cooperativas de produção com receita bruta anual de até R$16.000.000,00 (dezesseis milhões de reais), desde que a parcela da dívida seja paga até a data do respectivo vencimento;</w:t>
      </w:r>
      <w:r w:rsidR="00EB5695" w:rsidRPr="009472F5">
        <w:t xml:space="preserve"> (Res CMN 4.920 </w:t>
      </w:r>
      <w:proofErr w:type="spellStart"/>
      <w:r w:rsidR="00EB5695" w:rsidRPr="009472F5">
        <w:t>art</w:t>
      </w:r>
      <w:proofErr w:type="spellEnd"/>
      <w:r w:rsidR="00EB5695" w:rsidRPr="009472F5">
        <w:t xml:space="preserve"> 1º)</w:t>
      </w:r>
    </w:p>
    <w:p w14:paraId="44A3438B" w14:textId="0746B9AA" w:rsidR="00C355DD" w:rsidRPr="009472F5" w:rsidRDefault="00C355DD" w:rsidP="00C355DD">
      <w:pPr>
        <w:tabs>
          <w:tab w:val="right" w:pos="9923"/>
        </w:tabs>
        <w:ind w:left="851" w:right="-1" w:hanging="284"/>
        <w:jc w:val="both"/>
      </w:pPr>
      <w:r w:rsidRPr="009472F5">
        <w:t>II - noventa centésimos para os produtores rurais e suas cooperativas de produção com receita bruta anual acima de R$16.000.000,00 (dezesseis milhões de reais) até R$90.000.000,00 (noventa milhões de reais), desde que a parcela da dívida seja paga até a data do respectivo vencimento;</w:t>
      </w:r>
      <w:r w:rsidR="00EB5695" w:rsidRPr="009472F5">
        <w:t xml:space="preserve"> (Res CMN 4.920 </w:t>
      </w:r>
      <w:proofErr w:type="spellStart"/>
      <w:r w:rsidR="00EB5695" w:rsidRPr="009472F5">
        <w:t>art</w:t>
      </w:r>
      <w:proofErr w:type="spellEnd"/>
      <w:r w:rsidR="00EB5695" w:rsidRPr="009472F5">
        <w:t xml:space="preserve"> 1º)</w:t>
      </w:r>
    </w:p>
    <w:p w14:paraId="46630B8E" w14:textId="27EF7C40" w:rsidR="00C355DD" w:rsidRPr="009472F5" w:rsidRDefault="00C355DD" w:rsidP="00C355DD">
      <w:pPr>
        <w:tabs>
          <w:tab w:val="right" w:pos="9923"/>
        </w:tabs>
        <w:ind w:left="851" w:right="-1" w:hanging="284"/>
        <w:jc w:val="both"/>
      </w:pPr>
      <w:r w:rsidRPr="009472F5">
        <w:t>III - noventa e cinco centésimos para os produtores rurais e suas cooperativas de produção com receita bruta anual acima de R$90.000.000,00 (noventa milhões de reais), desde que a parcela da dívida seja paga até a data do respectivo vencimento; e</w:t>
      </w:r>
      <w:r w:rsidR="00EB5695" w:rsidRPr="009472F5">
        <w:t xml:space="preserve"> (Res CMN 4.920 </w:t>
      </w:r>
      <w:proofErr w:type="spellStart"/>
      <w:r w:rsidR="00EB5695" w:rsidRPr="009472F5">
        <w:t>art</w:t>
      </w:r>
      <w:proofErr w:type="spellEnd"/>
      <w:r w:rsidR="00EB5695" w:rsidRPr="009472F5">
        <w:t xml:space="preserve"> 1º)</w:t>
      </w:r>
    </w:p>
    <w:p w14:paraId="1C6D63CB" w14:textId="1140FD41" w:rsidR="007B0E1A" w:rsidRPr="009472F5" w:rsidRDefault="00C355DD" w:rsidP="00C355DD">
      <w:pPr>
        <w:tabs>
          <w:tab w:val="right" w:pos="9923"/>
        </w:tabs>
        <w:ind w:left="851" w:right="-1" w:hanging="284"/>
        <w:jc w:val="both"/>
      </w:pPr>
      <w:r w:rsidRPr="009472F5">
        <w:t>IV - um inteiro, nos demais casos</w:t>
      </w:r>
      <w:r w:rsidR="007B0E1A" w:rsidRPr="009472F5">
        <w:t>;</w:t>
      </w:r>
      <w:r w:rsidR="00EB5695" w:rsidRPr="009472F5">
        <w:t xml:space="preserve"> (Res CMN 4.920 </w:t>
      </w:r>
      <w:proofErr w:type="spellStart"/>
      <w:r w:rsidR="00EB5695" w:rsidRPr="009472F5">
        <w:t>art</w:t>
      </w:r>
      <w:proofErr w:type="spellEnd"/>
      <w:r w:rsidR="00EB5695" w:rsidRPr="009472F5">
        <w:t xml:space="preserve"> 1º)</w:t>
      </w:r>
    </w:p>
    <w:p w14:paraId="2B9A1819" w14:textId="03C23C83" w:rsidR="007B0E1A" w:rsidRPr="009472F5" w:rsidRDefault="007B0E1A" w:rsidP="007B0E1A">
      <w:pPr>
        <w:tabs>
          <w:tab w:val="right" w:pos="9923"/>
          <w:tab w:val="right" w:pos="10064"/>
        </w:tabs>
        <w:ind w:left="567" w:right="-1" w:hanging="284"/>
        <w:jc w:val="both"/>
      </w:pPr>
      <w:r w:rsidRPr="009472F5">
        <w:t>f) CDR corresponde ao Coeficiente de Desequilíbrio Regional, a que se refere o § 9º do art. 1º e o art. 1º-D da Lei nº 10.177, de 12 de janeiro de 2001, devendo ser utilizado o coeficiente mais recente divulgado antes do início de cada ano agrícola, conforme § 1º do art. 4º do Decreto nº 9.291, de 21 de fevereiro de 2018, e que terá vigência de 1º de julho a 30 de junho do ano subsequente;</w:t>
      </w:r>
      <w:r w:rsidR="008D1405" w:rsidRPr="009472F5">
        <w:t xml:space="preserve"> (Res CMN 4.883 </w:t>
      </w:r>
      <w:proofErr w:type="spellStart"/>
      <w:r w:rsidR="008D1405" w:rsidRPr="009472F5">
        <w:t>art</w:t>
      </w:r>
      <w:proofErr w:type="spellEnd"/>
      <w:r w:rsidR="008D1405" w:rsidRPr="009472F5">
        <w:t xml:space="preserve"> 1º)</w:t>
      </w:r>
    </w:p>
    <w:p w14:paraId="519B3725" w14:textId="61952B33" w:rsidR="007B0E1A" w:rsidRPr="009472F5" w:rsidRDefault="007B0E1A" w:rsidP="007B0E1A">
      <w:pPr>
        <w:tabs>
          <w:tab w:val="right" w:pos="9923"/>
          <w:tab w:val="right" w:pos="10064"/>
        </w:tabs>
        <w:ind w:left="567" w:right="-1" w:hanging="283"/>
        <w:jc w:val="both"/>
      </w:pPr>
      <w:r w:rsidRPr="009472F5">
        <w:t>g) FP corresponde ao Fator de Programa, a ser definido em resolução do Conselho Monetário Nacional (CMN);</w:t>
      </w:r>
      <w:r w:rsidR="008D1405" w:rsidRPr="009472F5">
        <w:t xml:space="preserve"> (Res CMN 4.883 </w:t>
      </w:r>
      <w:proofErr w:type="spellStart"/>
      <w:r w:rsidR="008D1405" w:rsidRPr="009472F5">
        <w:t>art</w:t>
      </w:r>
      <w:proofErr w:type="spellEnd"/>
      <w:r w:rsidR="008D1405" w:rsidRPr="009472F5">
        <w:t xml:space="preserve"> 1º)</w:t>
      </w:r>
    </w:p>
    <w:p w14:paraId="4A9F6BE5" w14:textId="50101177" w:rsidR="007B0E1A" w:rsidRPr="009472F5" w:rsidRDefault="007B0E1A" w:rsidP="007B0E1A">
      <w:pPr>
        <w:tabs>
          <w:tab w:val="right" w:pos="9923"/>
          <w:tab w:val="right" w:pos="10064"/>
        </w:tabs>
        <w:ind w:left="567" w:right="-1" w:hanging="284"/>
        <w:jc w:val="both"/>
      </w:pPr>
      <w:r w:rsidRPr="009472F5">
        <w:t>h) FA corresponde ao Fator de Ajuste, a ser definido em resolução do CMN;</w:t>
      </w:r>
      <w:r w:rsidR="008D1405" w:rsidRPr="009472F5">
        <w:t xml:space="preserve"> (Res CMN 4.883 </w:t>
      </w:r>
      <w:proofErr w:type="spellStart"/>
      <w:r w:rsidR="008D1405" w:rsidRPr="009472F5">
        <w:t>art</w:t>
      </w:r>
      <w:proofErr w:type="spellEnd"/>
      <w:r w:rsidR="008D1405" w:rsidRPr="009472F5">
        <w:t xml:space="preserve"> 1º)</w:t>
      </w:r>
    </w:p>
    <w:p w14:paraId="60FB07C8" w14:textId="0EE70D98" w:rsidR="007B0E1A" w:rsidRPr="009472F5" w:rsidRDefault="007B0E1A" w:rsidP="007B0E1A">
      <w:pPr>
        <w:tabs>
          <w:tab w:val="right" w:pos="9923"/>
          <w:tab w:val="right" w:pos="10064"/>
        </w:tabs>
        <w:ind w:left="567" w:right="-1" w:hanging="284"/>
        <w:jc w:val="both"/>
      </w:pPr>
      <w:r w:rsidRPr="009472F5">
        <w:t xml:space="preserve">i) </w:t>
      </w:r>
      <w:proofErr w:type="spellStart"/>
      <w:r w:rsidR="00C355DD" w:rsidRPr="009472F5">
        <w:t>Jm</w:t>
      </w:r>
      <w:proofErr w:type="spellEnd"/>
      <w:r w:rsidR="00C355DD" w:rsidRPr="009472F5">
        <w:t xml:space="preserve"> corresponde à taxa de juros prefixada calculada e divulgada no mês de maio, conforme os </w:t>
      </w:r>
      <w:proofErr w:type="spellStart"/>
      <w:r w:rsidR="00C355DD" w:rsidRPr="009472F5">
        <w:t>arts</w:t>
      </w:r>
      <w:proofErr w:type="spellEnd"/>
      <w:r w:rsidR="00C355DD" w:rsidRPr="009472F5">
        <w:t>. 2º e 5º da Resolução nº 4.600, de 25 de setembro de 2017, e terá vigência de 1º de julho a 30 de junho do ano subsequente</w:t>
      </w:r>
      <w:r w:rsidRPr="009472F5">
        <w:t>; e</w:t>
      </w:r>
      <w:r w:rsidR="00ED35C3" w:rsidRPr="009472F5">
        <w:t xml:space="preserve"> (Res CMN 4.920 </w:t>
      </w:r>
      <w:proofErr w:type="spellStart"/>
      <w:r w:rsidR="00ED35C3" w:rsidRPr="009472F5">
        <w:t>art</w:t>
      </w:r>
      <w:proofErr w:type="spellEnd"/>
      <w:r w:rsidR="00ED35C3" w:rsidRPr="009472F5">
        <w:t xml:space="preserve"> 1º)</w:t>
      </w:r>
    </w:p>
    <w:p w14:paraId="19666A76" w14:textId="6E5EAD6B" w:rsidR="007B0E1A" w:rsidRPr="009472F5" w:rsidRDefault="007B0E1A" w:rsidP="007B0E1A">
      <w:pPr>
        <w:tabs>
          <w:tab w:val="right" w:pos="9923"/>
          <w:tab w:val="right" w:pos="10064"/>
        </w:tabs>
        <w:spacing w:after="120"/>
        <w:ind w:left="567" w:right="-1" w:hanging="284"/>
        <w:jc w:val="both"/>
      </w:pPr>
      <w:r w:rsidRPr="009472F5">
        <w:t>j) DU corresponde ao número de dias úteis do mês de referência do cálculo em que incorrem encargos financeiros.</w:t>
      </w:r>
      <w:r w:rsidR="008D1405" w:rsidRPr="009472F5">
        <w:t xml:space="preserve"> (Res CMN 4.883 </w:t>
      </w:r>
      <w:proofErr w:type="spellStart"/>
      <w:r w:rsidR="008D1405" w:rsidRPr="009472F5">
        <w:t>art</w:t>
      </w:r>
      <w:proofErr w:type="spellEnd"/>
      <w:r w:rsidR="008D1405" w:rsidRPr="009472F5">
        <w:t xml:space="preserve"> 1º)</w:t>
      </w:r>
    </w:p>
    <w:p w14:paraId="090EEC70" w14:textId="04A885A8" w:rsidR="007B0E1A" w:rsidRPr="009472F5" w:rsidRDefault="007B0E1A" w:rsidP="007B0E1A">
      <w:pPr>
        <w:tabs>
          <w:tab w:val="right" w:pos="9923"/>
          <w:tab w:val="right" w:pos="10064"/>
        </w:tabs>
        <w:spacing w:after="120"/>
        <w:ind w:left="284" w:right="-1" w:hanging="284"/>
        <w:jc w:val="both"/>
      </w:pPr>
      <w:r w:rsidRPr="009472F5">
        <w:t>5 - No caso de desvio na aplicação dos recursos, o mutuário perderá, sem prejuízo das medidas judiciais cabíveis, inclusive de natureza executória, todo e qualquer benefício, especialmente os relativos ao bônus de adimplência.</w:t>
      </w:r>
      <w:r w:rsidR="00946328" w:rsidRPr="009472F5">
        <w:t xml:space="preserve"> (Res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r w:rsidRPr="009472F5">
        <w:t xml:space="preserve"> </w:t>
      </w:r>
    </w:p>
    <w:p w14:paraId="1C9147AD" w14:textId="501C351A" w:rsidR="007B0E1A" w:rsidRPr="009472F5" w:rsidRDefault="007B0E1A" w:rsidP="007B0E1A">
      <w:pPr>
        <w:tabs>
          <w:tab w:val="right" w:pos="9923"/>
          <w:tab w:val="right" w:pos="10064"/>
        </w:tabs>
        <w:spacing w:after="120"/>
        <w:ind w:left="284" w:right="-1" w:hanging="284"/>
        <w:jc w:val="both"/>
      </w:pPr>
      <w:r w:rsidRPr="009472F5">
        <w:t xml:space="preserve">6 - Para as linhas de crédito rural com recursos controlados em que forem estabelecidas taxas de juros nas modalidades </w:t>
      </w:r>
      <w:proofErr w:type="spellStart"/>
      <w:r w:rsidRPr="009472F5">
        <w:t>TRFC</w:t>
      </w:r>
      <w:r w:rsidRPr="009472F5">
        <w:rPr>
          <w:vertAlign w:val="superscript"/>
        </w:rPr>
        <w:t>pré</w:t>
      </w:r>
      <w:proofErr w:type="spellEnd"/>
      <w:r w:rsidRPr="009472F5">
        <w:t xml:space="preserve"> e </w:t>
      </w:r>
      <w:proofErr w:type="spellStart"/>
      <w:r w:rsidRPr="009472F5">
        <w:t>TRFC</w:t>
      </w:r>
      <w:r w:rsidRPr="009472F5">
        <w:rPr>
          <w:vertAlign w:val="superscript"/>
        </w:rPr>
        <w:t>pós</w:t>
      </w:r>
      <w:proofErr w:type="spellEnd"/>
      <w:r w:rsidRPr="009472F5">
        <w:t>, cabe ao tomador, no ato da contratação, optar pela modalidade a ser utilizada.</w:t>
      </w:r>
      <w:r w:rsidR="00946328" w:rsidRPr="009472F5">
        <w:t xml:space="preserve"> (Res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p>
    <w:p w14:paraId="0C777A2A" w14:textId="652E13B0" w:rsidR="007B0E1A" w:rsidRPr="009472F5" w:rsidRDefault="007B0E1A" w:rsidP="007B0E1A">
      <w:pPr>
        <w:tabs>
          <w:tab w:val="right" w:pos="9923"/>
          <w:tab w:val="right" w:pos="10064"/>
        </w:tabs>
        <w:spacing w:after="120"/>
        <w:ind w:left="284" w:right="-1" w:hanging="284"/>
        <w:jc w:val="both"/>
      </w:pPr>
      <w:r w:rsidRPr="009472F5">
        <w:t xml:space="preserve">7 - O FAM será apurado levando em consideração cada dia útil de vigência da operação de crédito, utilizando como referência a variação acumulada, para o mesmo período, do Índice Nacional de Preços ao Consumidor Amplo (IPCA), apurado e divulgado pela Fundação Instituto Brasileiro de Geografia e Estatística (IBGE). </w:t>
      </w:r>
      <w:r w:rsidR="00946328" w:rsidRPr="009472F5">
        <w:t xml:space="preserve">(Res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p>
    <w:p w14:paraId="5E964737" w14:textId="77777777" w:rsidR="007B0E1A" w:rsidRPr="009472F5" w:rsidRDefault="007B0E1A" w:rsidP="007B0E1A">
      <w:pPr>
        <w:tabs>
          <w:tab w:val="right" w:pos="9923"/>
          <w:tab w:val="right" w:pos="10064"/>
        </w:tabs>
        <w:ind w:left="284" w:right="-1" w:hanging="284"/>
        <w:jc w:val="both"/>
      </w:pPr>
      <w:r w:rsidRPr="009472F5">
        <w:lastRenderedPageBreak/>
        <w:t>8 - Para cálculo do FAM, será utilizada a seguinte fórmula:</w:t>
      </w:r>
    </w:p>
    <w:bookmarkStart w:id="2" w:name="_MON_1591703772"/>
    <w:bookmarkEnd w:id="2"/>
    <w:p w14:paraId="4636FE65" w14:textId="33B640B2" w:rsidR="007B0E1A" w:rsidRPr="009472F5" w:rsidRDefault="007B0E1A" w:rsidP="007B0E1A">
      <w:pPr>
        <w:tabs>
          <w:tab w:val="right" w:pos="9923"/>
          <w:tab w:val="right" w:pos="10064"/>
        </w:tabs>
        <w:ind w:left="284" w:right="-1" w:hanging="284"/>
        <w:jc w:val="both"/>
      </w:pPr>
      <w:r w:rsidRPr="009472F5">
        <w:object w:dxaOrig="3999" w:dyaOrig="480" w14:anchorId="67D7E53D">
          <v:shape id="_x0000_i1027" type="#_x0000_t75" style="width:196.45pt;height:24.55pt" o:ole="">
            <v:imagedata r:id="rId12" o:title=""/>
          </v:shape>
          <o:OLEObject Type="Embed" ProgID="Word.Document.12" ShapeID="_x0000_i1027" DrawAspect="Content" ObjectID="_1751091497" r:id="rId13">
            <o:FieldCodes>\s</o:FieldCodes>
          </o:OLEObject>
        </w:object>
      </w:r>
      <w:r w:rsidRPr="009472F5">
        <w:t>, em que:</w:t>
      </w:r>
      <w:r w:rsidR="00946328" w:rsidRPr="009472F5">
        <w:t xml:space="preserve"> (Res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p>
    <w:p w14:paraId="46CA345E" w14:textId="77777777" w:rsidR="007B0E1A" w:rsidRPr="009472F5" w:rsidRDefault="007B0E1A" w:rsidP="007B0E1A">
      <w:pPr>
        <w:tabs>
          <w:tab w:val="right" w:pos="9923"/>
          <w:tab w:val="right" w:pos="10064"/>
        </w:tabs>
        <w:ind w:left="567" w:right="-1" w:hanging="283"/>
        <w:jc w:val="both"/>
      </w:pPr>
      <w:r w:rsidRPr="009472F5">
        <w:t xml:space="preserve">a) </w:t>
      </w:r>
      <w:proofErr w:type="spellStart"/>
      <w:r w:rsidRPr="009472F5">
        <w:t>FAM</w:t>
      </w:r>
      <w:r w:rsidRPr="009472F5">
        <w:rPr>
          <w:vertAlign w:val="subscript"/>
        </w:rPr>
        <w:t>m</w:t>
      </w:r>
      <w:proofErr w:type="spellEnd"/>
      <w:r w:rsidRPr="009472F5">
        <w:t xml:space="preserve"> corresponde ao fator a ser aplicado durante o mês de referência “m”, expresso com 6 (seis) casas decimais e arredondamento matemático;</w:t>
      </w:r>
    </w:p>
    <w:p w14:paraId="5647E585" w14:textId="77777777" w:rsidR="007B0E1A" w:rsidRPr="009472F5" w:rsidRDefault="007B0E1A" w:rsidP="007B0E1A">
      <w:pPr>
        <w:tabs>
          <w:tab w:val="right" w:pos="9923"/>
          <w:tab w:val="right" w:pos="10064"/>
        </w:tabs>
        <w:ind w:left="567" w:right="-1" w:hanging="283"/>
        <w:jc w:val="both"/>
      </w:pPr>
      <w:r w:rsidRPr="009472F5">
        <w:t>b) π</w:t>
      </w:r>
      <w:r w:rsidRPr="009472F5">
        <w:rPr>
          <w:vertAlign w:val="subscript"/>
        </w:rPr>
        <w:t>m-1</w:t>
      </w:r>
      <w:r w:rsidRPr="009472F5">
        <w:t xml:space="preserve"> corresponde à variação percentual do IPCA, apurado e divulgado pelo IBGE, referente ao primeiro mês anterior ao mês de referência m, expressa em forma unitária com 4 (quatro) casas decimais;</w:t>
      </w:r>
    </w:p>
    <w:p w14:paraId="1F3D0452" w14:textId="77777777" w:rsidR="007B0E1A" w:rsidRPr="009472F5" w:rsidRDefault="007B0E1A" w:rsidP="007B0E1A">
      <w:pPr>
        <w:tabs>
          <w:tab w:val="right" w:pos="9923"/>
          <w:tab w:val="right" w:pos="10064"/>
        </w:tabs>
        <w:ind w:left="567" w:right="-1" w:hanging="283"/>
        <w:jc w:val="both"/>
      </w:pPr>
      <w:r w:rsidRPr="009472F5">
        <w:t>c) π</w:t>
      </w:r>
      <w:r w:rsidRPr="009472F5">
        <w:rPr>
          <w:vertAlign w:val="subscript"/>
        </w:rPr>
        <w:t xml:space="preserve">m-2 </w:t>
      </w:r>
      <w:r w:rsidRPr="009472F5">
        <w:t>corresponde à variação percentual do IPCA, apurado e divulgado pelo IBGE, referente ao segundo mês anterior ao mês de referência m, expressa em forma unitária com 4 (quatro) casas decimais;</w:t>
      </w:r>
    </w:p>
    <w:p w14:paraId="02DB91F0" w14:textId="77777777" w:rsidR="007B0E1A" w:rsidRPr="009472F5" w:rsidRDefault="007B0E1A" w:rsidP="007B0E1A">
      <w:pPr>
        <w:tabs>
          <w:tab w:val="right" w:pos="9923"/>
          <w:tab w:val="right" w:pos="10064"/>
        </w:tabs>
        <w:ind w:left="567" w:right="-1" w:hanging="283"/>
        <w:jc w:val="both"/>
      </w:pPr>
      <w:r w:rsidRPr="009472F5">
        <w:t xml:space="preserve">d) </w:t>
      </w:r>
      <w:proofErr w:type="spellStart"/>
      <w:r w:rsidRPr="009472F5">
        <w:t>ndu</w:t>
      </w:r>
      <w:r w:rsidRPr="009472F5">
        <w:rPr>
          <w:vertAlign w:val="subscript"/>
        </w:rPr>
        <w:t>p</w:t>
      </w:r>
      <w:proofErr w:type="spellEnd"/>
      <w:r w:rsidRPr="009472F5">
        <w:t xml:space="preserve"> corresponde ao número de dias úteis entre o dia 1º (inclusive) e o dia 15 (exclusive) do mês de referência “m”;</w:t>
      </w:r>
    </w:p>
    <w:p w14:paraId="3C7A56FD" w14:textId="77777777" w:rsidR="007B0E1A" w:rsidRPr="009472F5" w:rsidRDefault="007B0E1A" w:rsidP="007B0E1A">
      <w:pPr>
        <w:tabs>
          <w:tab w:val="right" w:pos="9923"/>
          <w:tab w:val="right" w:pos="10064"/>
        </w:tabs>
        <w:ind w:left="567" w:right="-1" w:hanging="283"/>
        <w:jc w:val="both"/>
      </w:pPr>
      <w:r w:rsidRPr="009472F5">
        <w:t xml:space="preserve">e) </w:t>
      </w:r>
      <w:proofErr w:type="spellStart"/>
      <w:r w:rsidRPr="009472F5">
        <w:t>ndu</w:t>
      </w:r>
      <w:r w:rsidRPr="009472F5">
        <w:rPr>
          <w:vertAlign w:val="subscript"/>
        </w:rPr>
        <w:t>s</w:t>
      </w:r>
      <w:proofErr w:type="spellEnd"/>
      <w:r w:rsidRPr="009472F5">
        <w:t xml:space="preserve"> corresponde ao número de dias úteis entre o dia 15 (inclusive) e o último dia (inclusive) do mês de referência “m”;</w:t>
      </w:r>
    </w:p>
    <w:p w14:paraId="3C680799" w14:textId="77777777" w:rsidR="007B0E1A" w:rsidRPr="009472F5" w:rsidRDefault="007B0E1A" w:rsidP="007B0E1A">
      <w:pPr>
        <w:tabs>
          <w:tab w:val="right" w:pos="9923"/>
          <w:tab w:val="right" w:pos="10064"/>
        </w:tabs>
        <w:ind w:left="567" w:right="-1" w:hanging="283"/>
        <w:jc w:val="both"/>
      </w:pPr>
      <w:r w:rsidRPr="009472F5">
        <w:t xml:space="preserve">f) </w:t>
      </w:r>
      <w:proofErr w:type="spellStart"/>
      <w:r w:rsidRPr="009472F5">
        <w:t>ndm</w:t>
      </w:r>
      <w:r w:rsidRPr="009472F5">
        <w:rPr>
          <w:vertAlign w:val="subscript"/>
        </w:rPr>
        <w:t>p</w:t>
      </w:r>
      <w:proofErr w:type="spellEnd"/>
      <w:r w:rsidRPr="009472F5">
        <w:t xml:space="preserve"> corresponde ao número total de dias úteis entre o dia 15 do primeiro mês anterior ao mês de referência m (inclusive) e o dia 15 do mês de referência m (exclusive); e</w:t>
      </w:r>
    </w:p>
    <w:p w14:paraId="7DF84155" w14:textId="77777777" w:rsidR="007B0E1A" w:rsidRPr="009472F5" w:rsidRDefault="007B0E1A" w:rsidP="007B0E1A">
      <w:pPr>
        <w:tabs>
          <w:tab w:val="right" w:pos="9923"/>
          <w:tab w:val="right" w:pos="10064"/>
        </w:tabs>
        <w:spacing w:after="120"/>
        <w:ind w:left="567" w:right="-1" w:hanging="283"/>
        <w:jc w:val="both"/>
      </w:pPr>
      <w:r w:rsidRPr="009472F5">
        <w:t xml:space="preserve">g) </w:t>
      </w:r>
      <w:proofErr w:type="spellStart"/>
      <w:r w:rsidRPr="009472F5">
        <w:t>ndm</w:t>
      </w:r>
      <w:r w:rsidRPr="009472F5">
        <w:rPr>
          <w:vertAlign w:val="subscript"/>
        </w:rPr>
        <w:t>s</w:t>
      </w:r>
      <w:proofErr w:type="spellEnd"/>
      <w:r w:rsidRPr="009472F5">
        <w:t xml:space="preserve"> corresponde ao número total de dias úteis entre o dia 15do mês de referência m (inclusive) e o dia 15 do primeiro mês posterior ao mês de referência m (exclusive).</w:t>
      </w:r>
    </w:p>
    <w:p w14:paraId="37EF6865" w14:textId="71DCCCDF" w:rsidR="007B0E1A" w:rsidRPr="009472F5" w:rsidRDefault="007B0E1A" w:rsidP="007B0E1A">
      <w:pPr>
        <w:tabs>
          <w:tab w:val="right" w:pos="9923"/>
          <w:tab w:val="right" w:pos="10064"/>
        </w:tabs>
        <w:spacing w:after="120"/>
        <w:ind w:left="284" w:right="-1" w:hanging="284"/>
        <w:jc w:val="both"/>
      </w:pPr>
      <w:r w:rsidRPr="009472F5">
        <w:t xml:space="preserve">9 - Os componentes FP, FA, </w:t>
      </w:r>
      <w:proofErr w:type="spellStart"/>
      <w:r w:rsidRPr="009472F5">
        <w:t>Jm</w:t>
      </w:r>
      <w:proofErr w:type="spellEnd"/>
      <w:r w:rsidRPr="009472F5">
        <w:t xml:space="preserve">, FII e CDR aplicados a cada contrato serão mantidos constantes durante toda a vigência da operação de crédito rural. </w:t>
      </w:r>
      <w:r w:rsidR="00946328" w:rsidRPr="009472F5">
        <w:t xml:space="preserve">(Res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p>
    <w:p w14:paraId="7684B0BF" w14:textId="067D6985" w:rsidR="007B0E1A" w:rsidRPr="009472F5" w:rsidRDefault="007B0E1A" w:rsidP="007B0E1A">
      <w:pPr>
        <w:tabs>
          <w:tab w:val="right" w:pos="9923"/>
          <w:tab w:val="right" w:pos="10064"/>
        </w:tabs>
        <w:spacing w:after="120"/>
        <w:ind w:left="284" w:right="-1" w:hanging="284"/>
        <w:jc w:val="both"/>
      </w:pPr>
      <w:r w:rsidRPr="008552B2">
        <w:t xml:space="preserve">10 - </w:t>
      </w:r>
      <w:r w:rsidR="00F979AB" w:rsidRPr="008552B2">
        <w:t>Para a definição das taxas de juros das operações de crédito rural ao amparo do Pronaf, realizadas com recursos dos Fundos Constitucionais de Financiamento do Norte, do Nordeste e do Centro-Oeste, deverão ser observadas as metodologias definidas na Seção 4 deste Capítulo</w:t>
      </w:r>
      <w:r w:rsidRPr="008552B2">
        <w:t>.</w:t>
      </w:r>
      <w:r w:rsidR="00946328" w:rsidRPr="008552B2">
        <w:t xml:space="preserve"> (Res </w:t>
      </w:r>
      <w:r w:rsidR="0070612F" w:rsidRPr="008552B2">
        <w:t>CMN</w:t>
      </w:r>
      <w:r w:rsidR="00F979AB" w:rsidRPr="008552B2">
        <w:t xml:space="preserve"> 5.065</w:t>
      </w:r>
      <w:r w:rsidR="00946328" w:rsidRPr="008552B2">
        <w:t xml:space="preserve"> </w:t>
      </w:r>
      <w:proofErr w:type="spellStart"/>
      <w:r w:rsidR="00946328" w:rsidRPr="008552B2">
        <w:t>art</w:t>
      </w:r>
      <w:proofErr w:type="spellEnd"/>
      <w:r w:rsidR="00946328" w:rsidRPr="008552B2">
        <w:t xml:space="preserve"> </w:t>
      </w:r>
      <w:r w:rsidR="00F979AB" w:rsidRPr="008552B2">
        <w:t>2</w:t>
      </w:r>
      <w:r w:rsidR="00946328" w:rsidRPr="008552B2">
        <w:t>º)</w:t>
      </w:r>
      <w:r w:rsidR="00946328" w:rsidRPr="009472F5">
        <w:tab/>
      </w:r>
    </w:p>
    <w:p w14:paraId="5B7D8938" w14:textId="4B968838" w:rsidR="007B0E1A" w:rsidRPr="009472F5" w:rsidRDefault="007B0E1A" w:rsidP="007B0E1A">
      <w:pPr>
        <w:tabs>
          <w:tab w:val="right" w:pos="9923"/>
          <w:tab w:val="right" w:pos="10064"/>
        </w:tabs>
        <w:spacing w:after="120"/>
        <w:ind w:left="284" w:right="-1" w:hanging="284"/>
        <w:jc w:val="both"/>
      </w:pPr>
      <w:r w:rsidRPr="008552B2">
        <w:t xml:space="preserve">11 - </w:t>
      </w:r>
      <w:r w:rsidR="00F979AB" w:rsidRPr="008552B2">
        <w:t>Fica o Banco Central do Brasil autorizado a baixar as normas e a adotar as medidas julgadas necessárias à execução do disposto nesta Seção</w:t>
      </w:r>
      <w:r w:rsidRPr="008552B2">
        <w:t xml:space="preserve">. </w:t>
      </w:r>
      <w:r w:rsidR="00946328" w:rsidRPr="008552B2">
        <w:t xml:space="preserve">(Res </w:t>
      </w:r>
      <w:r w:rsidR="0070612F" w:rsidRPr="008552B2">
        <w:t xml:space="preserve">CMN </w:t>
      </w:r>
      <w:r w:rsidR="00F979AB" w:rsidRPr="008552B2">
        <w:t>5.065</w:t>
      </w:r>
      <w:r w:rsidR="00946328" w:rsidRPr="008552B2">
        <w:t xml:space="preserve"> </w:t>
      </w:r>
      <w:proofErr w:type="spellStart"/>
      <w:r w:rsidR="00946328" w:rsidRPr="008552B2">
        <w:t>art</w:t>
      </w:r>
      <w:proofErr w:type="spellEnd"/>
      <w:r w:rsidR="00946328" w:rsidRPr="008552B2">
        <w:t xml:space="preserve"> </w:t>
      </w:r>
      <w:r w:rsidR="00F979AB" w:rsidRPr="008552B2">
        <w:t>2</w:t>
      </w:r>
      <w:r w:rsidR="00946328" w:rsidRPr="008552B2">
        <w:t>º)</w:t>
      </w:r>
    </w:p>
    <w:p w14:paraId="373E1FA3" w14:textId="1A2FF00E" w:rsidR="000A1E23" w:rsidRPr="009472F5" w:rsidRDefault="007B0E1A" w:rsidP="00A16E70">
      <w:pPr>
        <w:tabs>
          <w:tab w:val="right" w:pos="9923"/>
        </w:tabs>
        <w:ind w:left="284" w:hanging="284"/>
        <w:jc w:val="both"/>
      </w:pPr>
      <w:r w:rsidRPr="009472F5">
        <w:t>12 - Os Fatores de Programa aplicados na definição das taxas efetivas de juros de que trata esta Seção são os seguintes:</w:t>
      </w:r>
      <w:r w:rsidR="00946328" w:rsidRPr="009472F5">
        <w:t xml:space="preserve"> (Res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r w:rsidR="00ED35C3" w:rsidRPr="009472F5">
        <w:t xml:space="preserve">; Res CMN </w:t>
      </w:r>
      <w:r w:rsidR="000A1E23" w:rsidRPr="009472F5">
        <w:t>5.0</w:t>
      </w:r>
      <w:r w:rsidR="00387753">
        <w:t>83</w:t>
      </w:r>
      <w:r w:rsidR="00ED35C3" w:rsidRPr="009472F5">
        <w:t xml:space="preserve"> </w:t>
      </w:r>
      <w:proofErr w:type="spellStart"/>
      <w:r w:rsidR="00ED35C3" w:rsidRPr="009472F5">
        <w:t>art</w:t>
      </w:r>
      <w:proofErr w:type="spellEnd"/>
      <w:r w:rsidR="00ED35C3" w:rsidRPr="009472F5">
        <w:t xml:space="preserve"> 1º)</w:t>
      </w:r>
      <w:r w:rsidR="00387753">
        <w:tab/>
        <w:t>(*)</w:t>
      </w:r>
    </w:p>
    <w:p w14:paraId="1611C501" w14:textId="77777777" w:rsidR="000A1E23" w:rsidRPr="009472F5" w:rsidRDefault="000A1E23" w:rsidP="000A1E23">
      <w:pPr>
        <w:suppressAutoHyphens/>
        <w:spacing w:after="120"/>
        <w:ind w:left="1418" w:right="565"/>
        <w:jc w:val="both"/>
        <w:rPr>
          <w:color w:val="000000"/>
          <w:sz w:val="8"/>
          <w:szCs w:val="8"/>
        </w:rPr>
      </w:pP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701"/>
        <w:gridCol w:w="1275"/>
        <w:gridCol w:w="1276"/>
        <w:gridCol w:w="1228"/>
      </w:tblGrid>
      <w:tr w:rsidR="00387753" w:rsidRPr="00054168" w14:paraId="6BED1464" w14:textId="77777777" w:rsidTr="000032F0">
        <w:tc>
          <w:tcPr>
            <w:tcW w:w="3715" w:type="dxa"/>
            <w:vMerge w:val="restart"/>
            <w:shd w:val="clear" w:color="auto" w:fill="auto"/>
            <w:vAlign w:val="center"/>
          </w:tcPr>
          <w:p w14:paraId="30969FB8" w14:textId="77777777" w:rsidR="00387753" w:rsidRPr="00054168" w:rsidRDefault="00387753" w:rsidP="000032F0">
            <w:pPr>
              <w:tabs>
                <w:tab w:val="left" w:pos="8931"/>
              </w:tabs>
              <w:jc w:val="center"/>
              <w:rPr>
                <w:b/>
                <w:bCs/>
                <w:color w:val="000000"/>
              </w:rPr>
            </w:pPr>
            <w:r w:rsidRPr="00054168">
              <w:rPr>
                <w:b/>
                <w:bCs/>
                <w:color w:val="000000"/>
              </w:rPr>
              <w:t>Tipo de Operação</w:t>
            </w:r>
          </w:p>
        </w:tc>
        <w:tc>
          <w:tcPr>
            <w:tcW w:w="1701" w:type="dxa"/>
            <w:vMerge w:val="restart"/>
            <w:shd w:val="clear" w:color="auto" w:fill="auto"/>
            <w:vAlign w:val="center"/>
          </w:tcPr>
          <w:p w14:paraId="1D7A21E6" w14:textId="77777777" w:rsidR="00387753" w:rsidRPr="00054168" w:rsidRDefault="00387753" w:rsidP="000032F0">
            <w:pPr>
              <w:tabs>
                <w:tab w:val="left" w:pos="8931"/>
              </w:tabs>
              <w:jc w:val="center"/>
              <w:rPr>
                <w:b/>
                <w:bCs/>
                <w:color w:val="000000"/>
              </w:rPr>
            </w:pPr>
            <w:r w:rsidRPr="00054168">
              <w:rPr>
                <w:b/>
                <w:bCs/>
                <w:color w:val="000000"/>
              </w:rPr>
              <w:t>Receita Bruta Anual</w:t>
            </w:r>
          </w:p>
        </w:tc>
        <w:tc>
          <w:tcPr>
            <w:tcW w:w="3779" w:type="dxa"/>
            <w:gridSpan w:val="3"/>
            <w:shd w:val="clear" w:color="auto" w:fill="auto"/>
            <w:vAlign w:val="center"/>
          </w:tcPr>
          <w:p w14:paraId="7173360A" w14:textId="77777777" w:rsidR="00387753" w:rsidRPr="00054168" w:rsidRDefault="00387753" w:rsidP="000032F0">
            <w:pPr>
              <w:tabs>
                <w:tab w:val="left" w:pos="8931"/>
              </w:tabs>
              <w:jc w:val="center"/>
              <w:rPr>
                <w:b/>
                <w:bCs/>
                <w:color w:val="000000"/>
              </w:rPr>
            </w:pPr>
            <w:r w:rsidRPr="00054168">
              <w:rPr>
                <w:b/>
                <w:bCs/>
                <w:color w:val="000000"/>
              </w:rPr>
              <w:t>Fatores de Programa</w:t>
            </w:r>
          </w:p>
        </w:tc>
      </w:tr>
      <w:tr w:rsidR="00387753" w:rsidRPr="00054168" w14:paraId="094CA23C" w14:textId="77777777" w:rsidTr="000032F0">
        <w:tc>
          <w:tcPr>
            <w:tcW w:w="3715" w:type="dxa"/>
            <w:vMerge/>
            <w:shd w:val="clear" w:color="auto" w:fill="auto"/>
            <w:vAlign w:val="center"/>
          </w:tcPr>
          <w:p w14:paraId="01343CCA" w14:textId="77777777" w:rsidR="00387753" w:rsidRPr="00054168" w:rsidRDefault="00387753" w:rsidP="000032F0">
            <w:pPr>
              <w:tabs>
                <w:tab w:val="left" w:pos="8931"/>
              </w:tabs>
              <w:jc w:val="center"/>
              <w:rPr>
                <w:color w:val="000000"/>
              </w:rPr>
            </w:pPr>
          </w:p>
        </w:tc>
        <w:tc>
          <w:tcPr>
            <w:tcW w:w="1701" w:type="dxa"/>
            <w:vMerge/>
            <w:shd w:val="clear" w:color="auto" w:fill="auto"/>
            <w:vAlign w:val="center"/>
          </w:tcPr>
          <w:p w14:paraId="4C0CB99E" w14:textId="77777777" w:rsidR="00387753" w:rsidRPr="00054168" w:rsidRDefault="00387753" w:rsidP="000032F0">
            <w:pPr>
              <w:tabs>
                <w:tab w:val="left" w:pos="8931"/>
              </w:tabs>
              <w:jc w:val="center"/>
              <w:rPr>
                <w:color w:val="000000"/>
              </w:rPr>
            </w:pPr>
          </w:p>
        </w:tc>
        <w:tc>
          <w:tcPr>
            <w:tcW w:w="1275" w:type="dxa"/>
            <w:shd w:val="clear" w:color="auto" w:fill="auto"/>
            <w:vAlign w:val="center"/>
          </w:tcPr>
          <w:p w14:paraId="1F39D0FF" w14:textId="77777777" w:rsidR="00387753" w:rsidRPr="00054168" w:rsidRDefault="00387753" w:rsidP="000032F0">
            <w:pPr>
              <w:tabs>
                <w:tab w:val="left" w:pos="8931"/>
              </w:tabs>
              <w:jc w:val="center"/>
              <w:rPr>
                <w:color w:val="000000"/>
              </w:rPr>
            </w:pPr>
            <w:r w:rsidRPr="00054168">
              <w:rPr>
                <w:b/>
                <w:bCs/>
                <w:color w:val="000000"/>
              </w:rPr>
              <w:t>FCO</w:t>
            </w:r>
          </w:p>
        </w:tc>
        <w:tc>
          <w:tcPr>
            <w:tcW w:w="1276" w:type="dxa"/>
          </w:tcPr>
          <w:p w14:paraId="0813897A" w14:textId="77777777" w:rsidR="00387753" w:rsidRPr="00054168" w:rsidRDefault="00387753" w:rsidP="000032F0">
            <w:pPr>
              <w:tabs>
                <w:tab w:val="left" w:pos="8931"/>
              </w:tabs>
              <w:jc w:val="center"/>
              <w:rPr>
                <w:b/>
                <w:bCs/>
                <w:color w:val="000000"/>
              </w:rPr>
            </w:pPr>
            <w:r w:rsidRPr="00054168">
              <w:rPr>
                <w:b/>
                <w:bCs/>
                <w:color w:val="000000"/>
              </w:rPr>
              <w:t>FNE</w:t>
            </w:r>
          </w:p>
        </w:tc>
        <w:tc>
          <w:tcPr>
            <w:tcW w:w="1228" w:type="dxa"/>
          </w:tcPr>
          <w:p w14:paraId="708DC1B1" w14:textId="77777777" w:rsidR="00387753" w:rsidRPr="00054168" w:rsidRDefault="00387753" w:rsidP="000032F0">
            <w:pPr>
              <w:tabs>
                <w:tab w:val="left" w:pos="8931"/>
              </w:tabs>
              <w:jc w:val="center"/>
              <w:rPr>
                <w:b/>
                <w:bCs/>
                <w:color w:val="000000"/>
              </w:rPr>
            </w:pPr>
            <w:r w:rsidRPr="00054168">
              <w:rPr>
                <w:b/>
                <w:bCs/>
                <w:color w:val="000000"/>
              </w:rPr>
              <w:t>FNO</w:t>
            </w:r>
          </w:p>
        </w:tc>
      </w:tr>
      <w:tr w:rsidR="00387753" w:rsidRPr="00054168" w14:paraId="7B98931A" w14:textId="77777777" w:rsidTr="000032F0">
        <w:tc>
          <w:tcPr>
            <w:tcW w:w="3715" w:type="dxa"/>
            <w:vMerge w:val="restart"/>
            <w:shd w:val="clear" w:color="auto" w:fill="auto"/>
            <w:vAlign w:val="center"/>
          </w:tcPr>
          <w:p w14:paraId="5BF87FE2" w14:textId="77777777" w:rsidR="00387753" w:rsidRPr="00054168" w:rsidRDefault="00387753" w:rsidP="000032F0">
            <w:pPr>
              <w:tabs>
                <w:tab w:val="left" w:pos="8931"/>
              </w:tabs>
              <w:rPr>
                <w:color w:val="000000"/>
              </w:rPr>
            </w:pPr>
            <w:r w:rsidRPr="00054168">
              <w:rPr>
                <w:color w:val="000000"/>
              </w:rPr>
              <w:t>Investimento, inclusive com custeio ou capital de giro associado</w:t>
            </w:r>
          </w:p>
        </w:tc>
        <w:tc>
          <w:tcPr>
            <w:tcW w:w="1701" w:type="dxa"/>
            <w:shd w:val="clear" w:color="auto" w:fill="auto"/>
            <w:vAlign w:val="center"/>
          </w:tcPr>
          <w:p w14:paraId="674EE1C2" w14:textId="77777777" w:rsidR="00387753" w:rsidRPr="00054168" w:rsidRDefault="00387753" w:rsidP="000032F0">
            <w:pPr>
              <w:tabs>
                <w:tab w:val="left" w:pos="8931"/>
              </w:tabs>
              <w:jc w:val="center"/>
              <w:rPr>
                <w:color w:val="000000"/>
              </w:rPr>
            </w:pPr>
            <w:r w:rsidRPr="00054168">
              <w:rPr>
                <w:color w:val="000000"/>
              </w:rPr>
              <w:t>Até R$16 milhões</w:t>
            </w:r>
          </w:p>
        </w:tc>
        <w:tc>
          <w:tcPr>
            <w:tcW w:w="1275" w:type="dxa"/>
            <w:shd w:val="clear" w:color="auto" w:fill="auto"/>
          </w:tcPr>
          <w:p w14:paraId="5837B574" w14:textId="77777777" w:rsidR="00387753" w:rsidRPr="00054168" w:rsidRDefault="00387753" w:rsidP="000032F0">
            <w:pPr>
              <w:tabs>
                <w:tab w:val="left" w:pos="8931"/>
              </w:tabs>
              <w:jc w:val="center"/>
              <w:rPr>
                <w:color w:val="000000"/>
              </w:rPr>
            </w:pPr>
            <w:r w:rsidRPr="00054168">
              <w:t>0,3991254</w:t>
            </w:r>
          </w:p>
        </w:tc>
        <w:tc>
          <w:tcPr>
            <w:tcW w:w="1276" w:type="dxa"/>
          </w:tcPr>
          <w:p w14:paraId="6C390525" w14:textId="77777777" w:rsidR="00387753" w:rsidRPr="00054168" w:rsidRDefault="00387753" w:rsidP="000032F0">
            <w:pPr>
              <w:tabs>
                <w:tab w:val="left" w:pos="8931"/>
              </w:tabs>
              <w:jc w:val="center"/>
              <w:rPr>
                <w:color w:val="000000"/>
              </w:rPr>
            </w:pPr>
            <w:r w:rsidRPr="00054168">
              <w:t>0,3167217</w:t>
            </w:r>
          </w:p>
        </w:tc>
        <w:tc>
          <w:tcPr>
            <w:tcW w:w="1228" w:type="dxa"/>
          </w:tcPr>
          <w:p w14:paraId="62874CC2" w14:textId="77777777" w:rsidR="00387753" w:rsidRPr="00054168" w:rsidRDefault="00387753" w:rsidP="000032F0">
            <w:pPr>
              <w:tabs>
                <w:tab w:val="left" w:pos="8931"/>
              </w:tabs>
              <w:jc w:val="center"/>
              <w:rPr>
                <w:color w:val="000000"/>
              </w:rPr>
            </w:pPr>
            <w:r w:rsidRPr="00054168">
              <w:t>0,3161611</w:t>
            </w:r>
          </w:p>
        </w:tc>
      </w:tr>
      <w:tr w:rsidR="00387753" w:rsidRPr="00054168" w14:paraId="537FCD01" w14:textId="77777777" w:rsidTr="000032F0">
        <w:tc>
          <w:tcPr>
            <w:tcW w:w="3715" w:type="dxa"/>
            <w:vMerge/>
            <w:shd w:val="clear" w:color="auto" w:fill="auto"/>
          </w:tcPr>
          <w:p w14:paraId="27504A7A" w14:textId="77777777" w:rsidR="00387753" w:rsidRPr="00054168" w:rsidRDefault="00387753" w:rsidP="000032F0">
            <w:pPr>
              <w:tabs>
                <w:tab w:val="left" w:pos="8931"/>
              </w:tabs>
              <w:rPr>
                <w:color w:val="000000"/>
              </w:rPr>
            </w:pPr>
          </w:p>
        </w:tc>
        <w:tc>
          <w:tcPr>
            <w:tcW w:w="1701" w:type="dxa"/>
            <w:shd w:val="clear" w:color="auto" w:fill="auto"/>
            <w:vAlign w:val="center"/>
          </w:tcPr>
          <w:p w14:paraId="4E45F1E0" w14:textId="77777777" w:rsidR="00387753" w:rsidRPr="00054168" w:rsidRDefault="00387753" w:rsidP="000032F0">
            <w:pPr>
              <w:tabs>
                <w:tab w:val="left" w:pos="8931"/>
              </w:tabs>
              <w:jc w:val="center"/>
              <w:rPr>
                <w:color w:val="000000"/>
              </w:rPr>
            </w:pPr>
            <w:r w:rsidRPr="00054168">
              <w:rPr>
                <w:color w:val="000000"/>
              </w:rPr>
              <w:t>de R$16 a R$90 milhões</w:t>
            </w:r>
          </w:p>
        </w:tc>
        <w:tc>
          <w:tcPr>
            <w:tcW w:w="1275" w:type="dxa"/>
            <w:shd w:val="clear" w:color="auto" w:fill="auto"/>
          </w:tcPr>
          <w:p w14:paraId="6C5D0A1F" w14:textId="77777777" w:rsidR="00387753" w:rsidRPr="00054168" w:rsidRDefault="00387753" w:rsidP="000032F0">
            <w:pPr>
              <w:tabs>
                <w:tab w:val="left" w:pos="8931"/>
              </w:tabs>
              <w:jc w:val="center"/>
              <w:rPr>
                <w:color w:val="000000"/>
              </w:rPr>
            </w:pPr>
            <w:r w:rsidRPr="00054168">
              <w:t>0,5858510</w:t>
            </w:r>
          </w:p>
        </w:tc>
        <w:tc>
          <w:tcPr>
            <w:tcW w:w="1276" w:type="dxa"/>
          </w:tcPr>
          <w:p w14:paraId="485A28BE" w14:textId="77777777" w:rsidR="00387753" w:rsidRPr="00054168" w:rsidRDefault="00387753" w:rsidP="000032F0">
            <w:pPr>
              <w:tabs>
                <w:tab w:val="left" w:pos="8931"/>
              </w:tabs>
              <w:jc w:val="center"/>
              <w:rPr>
                <w:color w:val="000000"/>
              </w:rPr>
            </w:pPr>
            <w:r w:rsidRPr="00054168">
              <w:t>0,4984335</w:t>
            </w:r>
          </w:p>
        </w:tc>
        <w:tc>
          <w:tcPr>
            <w:tcW w:w="1228" w:type="dxa"/>
          </w:tcPr>
          <w:p w14:paraId="45D9E700" w14:textId="77777777" w:rsidR="00387753" w:rsidRPr="00054168" w:rsidRDefault="00387753" w:rsidP="000032F0">
            <w:pPr>
              <w:tabs>
                <w:tab w:val="left" w:pos="8931"/>
              </w:tabs>
              <w:jc w:val="center"/>
              <w:rPr>
                <w:color w:val="000000"/>
              </w:rPr>
            </w:pPr>
            <w:r w:rsidRPr="00054168">
              <w:t>0,4930657</w:t>
            </w:r>
          </w:p>
        </w:tc>
      </w:tr>
      <w:tr w:rsidR="00387753" w:rsidRPr="00054168" w14:paraId="22C4D915" w14:textId="77777777" w:rsidTr="000032F0">
        <w:tc>
          <w:tcPr>
            <w:tcW w:w="3715" w:type="dxa"/>
            <w:vMerge/>
            <w:shd w:val="clear" w:color="auto" w:fill="auto"/>
          </w:tcPr>
          <w:p w14:paraId="68E88FAE" w14:textId="77777777" w:rsidR="00387753" w:rsidRPr="00054168" w:rsidRDefault="00387753" w:rsidP="000032F0">
            <w:pPr>
              <w:tabs>
                <w:tab w:val="left" w:pos="8931"/>
              </w:tabs>
              <w:rPr>
                <w:color w:val="000000"/>
              </w:rPr>
            </w:pPr>
          </w:p>
        </w:tc>
        <w:tc>
          <w:tcPr>
            <w:tcW w:w="1701" w:type="dxa"/>
            <w:shd w:val="clear" w:color="auto" w:fill="auto"/>
            <w:vAlign w:val="center"/>
          </w:tcPr>
          <w:p w14:paraId="3CDCEAC4" w14:textId="77777777" w:rsidR="00387753" w:rsidRPr="00054168" w:rsidRDefault="00387753" w:rsidP="000032F0">
            <w:pPr>
              <w:tabs>
                <w:tab w:val="left" w:pos="8931"/>
              </w:tabs>
              <w:jc w:val="center"/>
              <w:rPr>
                <w:color w:val="000000"/>
              </w:rPr>
            </w:pPr>
            <w:r w:rsidRPr="00054168">
              <w:rPr>
                <w:color w:val="000000"/>
              </w:rPr>
              <w:t>Acima de R$90 milhões</w:t>
            </w:r>
          </w:p>
        </w:tc>
        <w:tc>
          <w:tcPr>
            <w:tcW w:w="1275" w:type="dxa"/>
            <w:shd w:val="clear" w:color="auto" w:fill="auto"/>
          </w:tcPr>
          <w:p w14:paraId="022731E8" w14:textId="77777777" w:rsidR="00387753" w:rsidRPr="00054168" w:rsidRDefault="00387753" w:rsidP="000032F0">
            <w:pPr>
              <w:tabs>
                <w:tab w:val="left" w:pos="8931"/>
              </w:tabs>
              <w:jc w:val="center"/>
              <w:rPr>
                <w:color w:val="000000"/>
              </w:rPr>
            </w:pPr>
            <w:r w:rsidRPr="00054168">
              <w:t>0,7693882</w:t>
            </w:r>
          </w:p>
        </w:tc>
        <w:tc>
          <w:tcPr>
            <w:tcW w:w="1276" w:type="dxa"/>
          </w:tcPr>
          <w:p w14:paraId="34B23672" w14:textId="77777777" w:rsidR="00387753" w:rsidRPr="00054168" w:rsidRDefault="00387753" w:rsidP="000032F0">
            <w:pPr>
              <w:tabs>
                <w:tab w:val="left" w:pos="8931"/>
              </w:tabs>
              <w:jc w:val="center"/>
              <w:rPr>
                <w:color w:val="000000"/>
              </w:rPr>
            </w:pPr>
            <w:r w:rsidRPr="00054168">
              <w:t>0,6755132</w:t>
            </w:r>
          </w:p>
        </w:tc>
        <w:tc>
          <w:tcPr>
            <w:tcW w:w="1228" w:type="dxa"/>
          </w:tcPr>
          <w:p w14:paraId="33DF90DA" w14:textId="77777777" w:rsidR="00387753" w:rsidRPr="00054168" w:rsidRDefault="00387753" w:rsidP="000032F0">
            <w:pPr>
              <w:tabs>
                <w:tab w:val="left" w:pos="8931"/>
              </w:tabs>
              <w:jc w:val="center"/>
              <w:rPr>
                <w:color w:val="000000"/>
              </w:rPr>
            </w:pPr>
            <w:r w:rsidRPr="00054168">
              <w:t>0,6658353</w:t>
            </w:r>
          </w:p>
        </w:tc>
      </w:tr>
      <w:tr w:rsidR="00387753" w:rsidRPr="00054168" w14:paraId="5182BE69" w14:textId="77777777" w:rsidTr="000032F0">
        <w:tc>
          <w:tcPr>
            <w:tcW w:w="3715" w:type="dxa"/>
            <w:vMerge w:val="restart"/>
            <w:shd w:val="clear" w:color="auto" w:fill="auto"/>
            <w:vAlign w:val="center"/>
          </w:tcPr>
          <w:p w14:paraId="74C8C4F4" w14:textId="77777777" w:rsidR="00387753" w:rsidRPr="00054168" w:rsidRDefault="00387753" w:rsidP="000032F0">
            <w:pPr>
              <w:tabs>
                <w:tab w:val="left" w:pos="8931"/>
              </w:tabs>
              <w:rPr>
                <w:color w:val="000000"/>
              </w:rPr>
            </w:pPr>
            <w:r w:rsidRPr="00054168">
              <w:rPr>
                <w:color w:val="000000"/>
              </w:rPr>
              <w:t>Custeio ou capital de giro e comercialização</w:t>
            </w:r>
          </w:p>
        </w:tc>
        <w:tc>
          <w:tcPr>
            <w:tcW w:w="1701" w:type="dxa"/>
            <w:shd w:val="clear" w:color="auto" w:fill="auto"/>
            <w:vAlign w:val="center"/>
          </w:tcPr>
          <w:p w14:paraId="5538CC09" w14:textId="77777777" w:rsidR="00387753" w:rsidRPr="00054168" w:rsidRDefault="00387753" w:rsidP="000032F0">
            <w:pPr>
              <w:tabs>
                <w:tab w:val="left" w:pos="8931"/>
              </w:tabs>
              <w:jc w:val="center"/>
              <w:rPr>
                <w:color w:val="000000"/>
              </w:rPr>
            </w:pPr>
            <w:r w:rsidRPr="00054168">
              <w:rPr>
                <w:color w:val="000000"/>
              </w:rPr>
              <w:t>Até R$16 milhões</w:t>
            </w:r>
          </w:p>
        </w:tc>
        <w:tc>
          <w:tcPr>
            <w:tcW w:w="1275" w:type="dxa"/>
            <w:shd w:val="clear" w:color="auto" w:fill="auto"/>
          </w:tcPr>
          <w:p w14:paraId="7EF857CC" w14:textId="77777777" w:rsidR="00387753" w:rsidRPr="00054168" w:rsidRDefault="00387753" w:rsidP="000032F0">
            <w:pPr>
              <w:tabs>
                <w:tab w:val="left" w:pos="8931"/>
              </w:tabs>
              <w:jc w:val="center"/>
              <w:rPr>
                <w:color w:val="000000"/>
              </w:rPr>
            </w:pPr>
            <w:r w:rsidRPr="00054168">
              <w:t>0,4555421</w:t>
            </w:r>
          </w:p>
        </w:tc>
        <w:tc>
          <w:tcPr>
            <w:tcW w:w="1276" w:type="dxa"/>
          </w:tcPr>
          <w:p w14:paraId="184D27D8" w14:textId="77777777" w:rsidR="00387753" w:rsidRPr="00054168" w:rsidRDefault="00387753" w:rsidP="000032F0">
            <w:pPr>
              <w:tabs>
                <w:tab w:val="left" w:pos="8931"/>
              </w:tabs>
              <w:jc w:val="center"/>
              <w:rPr>
                <w:color w:val="000000"/>
              </w:rPr>
            </w:pPr>
            <w:r w:rsidRPr="00054168">
              <w:t>0,3725461</w:t>
            </w:r>
          </w:p>
        </w:tc>
        <w:tc>
          <w:tcPr>
            <w:tcW w:w="1228" w:type="dxa"/>
          </w:tcPr>
          <w:p w14:paraId="62FE5153" w14:textId="77777777" w:rsidR="00387753" w:rsidRPr="00054168" w:rsidRDefault="00387753" w:rsidP="000032F0">
            <w:pPr>
              <w:tabs>
                <w:tab w:val="left" w:pos="8931"/>
              </w:tabs>
              <w:jc w:val="center"/>
              <w:rPr>
                <w:color w:val="000000"/>
              </w:rPr>
            </w:pPr>
            <w:r w:rsidRPr="00054168">
              <w:t>0,3700499</w:t>
            </w:r>
          </w:p>
        </w:tc>
      </w:tr>
      <w:tr w:rsidR="00387753" w:rsidRPr="00054168" w14:paraId="5788003C" w14:textId="77777777" w:rsidTr="000032F0">
        <w:tc>
          <w:tcPr>
            <w:tcW w:w="3715" w:type="dxa"/>
            <w:vMerge/>
            <w:shd w:val="clear" w:color="auto" w:fill="auto"/>
          </w:tcPr>
          <w:p w14:paraId="1FCF9325" w14:textId="77777777" w:rsidR="00387753" w:rsidRPr="00054168" w:rsidRDefault="00387753" w:rsidP="000032F0">
            <w:pPr>
              <w:tabs>
                <w:tab w:val="left" w:pos="8931"/>
              </w:tabs>
              <w:rPr>
                <w:color w:val="000000"/>
              </w:rPr>
            </w:pPr>
          </w:p>
        </w:tc>
        <w:tc>
          <w:tcPr>
            <w:tcW w:w="1701" w:type="dxa"/>
            <w:shd w:val="clear" w:color="auto" w:fill="auto"/>
            <w:vAlign w:val="center"/>
          </w:tcPr>
          <w:p w14:paraId="794CB37A" w14:textId="77777777" w:rsidR="00387753" w:rsidRPr="00054168" w:rsidRDefault="00387753" w:rsidP="000032F0">
            <w:pPr>
              <w:tabs>
                <w:tab w:val="left" w:pos="8931"/>
              </w:tabs>
              <w:jc w:val="center"/>
              <w:rPr>
                <w:color w:val="000000"/>
              </w:rPr>
            </w:pPr>
            <w:r w:rsidRPr="00054168">
              <w:rPr>
                <w:color w:val="000000"/>
              </w:rPr>
              <w:t>de R$16 a R$90 milhões</w:t>
            </w:r>
          </w:p>
        </w:tc>
        <w:tc>
          <w:tcPr>
            <w:tcW w:w="1275" w:type="dxa"/>
            <w:shd w:val="clear" w:color="auto" w:fill="auto"/>
          </w:tcPr>
          <w:p w14:paraId="0E8E42A3" w14:textId="77777777" w:rsidR="00387753" w:rsidRPr="00054168" w:rsidRDefault="00387753" w:rsidP="000032F0">
            <w:pPr>
              <w:tabs>
                <w:tab w:val="left" w:pos="8931"/>
              </w:tabs>
              <w:jc w:val="center"/>
              <w:rPr>
                <w:color w:val="000000"/>
              </w:rPr>
            </w:pPr>
            <w:r w:rsidRPr="00054168">
              <w:t>0,6632707</w:t>
            </w:r>
          </w:p>
        </w:tc>
        <w:tc>
          <w:tcPr>
            <w:tcW w:w="1276" w:type="dxa"/>
          </w:tcPr>
          <w:p w14:paraId="029F2FAD" w14:textId="77777777" w:rsidR="00387753" w:rsidRPr="00054168" w:rsidRDefault="00387753" w:rsidP="000032F0">
            <w:pPr>
              <w:tabs>
                <w:tab w:val="left" w:pos="8931"/>
              </w:tabs>
              <w:jc w:val="center"/>
              <w:rPr>
                <w:color w:val="000000"/>
              </w:rPr>
            </w:pPr>
            <w:r w:rsidRPr="00054168">
              <w:t>0,5738697</w:t>
            </w:r>
          </w:p>
        </w:tc>
        <w:tc>
          <w:tcPr>
            <w:tcW w:w="1228" w:type="dxa"/>
          </w:tcPr>
          <w:p w14:paraId="2FF4A5C3" w14:textId="77777777" w:rsidR="00387753" w:rsidRPr="00054168" w:rsidRDefault="00387753" w:rsidP="000032F0">
            <w:pPr>
              <w:tabs>
                <w:tab w:val="left" w:pos="8931"/>
              </w:tabs>
              <w:jc w:val="center"/>
              <w:rPr>
                <w:color w:val="000000"/>
              </w:rPr>
            </w:pPr>
            <w:r w:rsidRPr="00054168">
              <w:t>0,5653553</w:t>
            </w:r>
          </w:p>
        </w:tc>
      </w:tr>
      <w:tr w:rsidR="00387753" w:rsidRPr="00054168" w14:paraId="0166796A" w14:textId="77777777" w:rsidTr="000032F0">
        <w:trPr>
          <w:trHeight w:val="119"/>
        </w:trPr>
        <w:tc>
          <w:tcPr>
            <w:tcW w:w="3715" w:type="dxa"/>
            <w:vMerge/>
            <w:shd w:val="clear" w:color="auto" w:fill="auto"/>
          </w:tcPr>
          <w:p w14:paraId="177DD8D6" w14:textId="77777777" w:rsidR="00387753" w:rsidRPr="00054168" w:rsidRDefault="00387753" w:rsidP="000032F0">
            <w:pPr>
              <w:tabs>
                <w:tab w:val="left" w:pos="8931"/>
              </w:tabs>
              <w:rPr>
                <w:color w:val="000000"/>
              </w:rPr>
            </w:pPr>
          </w:p>
        </w:tc>
        <w:tc>
          <w:tcPr>
            <w:tcW w:w="1701" w:type="dxa"/>
            <w:shd w:val="clear" w:color="auto" w:fill="auto"/>
            <w:vAlign w:val="center"/>
          </w:tcPr>
          <w:p w14:paraId="51F457D1" w14:textId="77777777" w:rsidR="00387753" w:rsidRPr="00054168" w:rsidRDefault="00387753" w:rsidP="000032F0">
            <w:pPr>
              <w:tabs>
                <w:tab w:val="left" w:pos="8931"/>
              </w:tabs>
              <w:jc w:val="center"/>
              <w:rPr>
                <w:color w:val="000000"/>
              </w:rPr>
            </w:pPr>
            <w:r w:rsidRPr="00054168">
              <w:rPr>
                <w:color w:val="000000"/>
              </w:rPr>
              <w:t>Acima de R$90 milhões</w:t>
            </w:r>
          </w:p>
        </w:tc>
        <w:tc>
          <w:tcPr>
            <w:tcW w:w="1275" w:type="dxa"/>
            <w:tcBorders>
              <w:bottom w:val="single" w:sz="4" w:space="0" w:color="auto"/>
            </w:tcBorders>
            <w:shd w:val="clear" w:color="auto" w:fill="auto"/>
          </w:tcPr>
          <w:p w14:paraId="25D9D11B" w14:textId="77777777" w:rsidR="00387753" w:rsidRPr="00054168" w:rsidRDefault="00387753" w:rsidP="000032F0">
            <w:pPr>
              <w:tabs>
                <w:tab w:val="left" w:pos="8931"/>
              </w:tabs>
              <w:jc w:val="center"/>
              <w:rPr>
                <w:color w:val="000000"/>
              </w:rPr>
            </w:pPr>
            <w:r w:rsidRPr="00054168">
              <w:t>0,8663539</w:t>
            </w:r>
          </w:p>
        </w:tc>
        <w:tc>
          <w:tcPr>
            <w:tcW w:w="1276" w:type="dxa"/>
            <w:tcBorders>
              <w:bottom w:val="single" w:sz="4" w:space="0" w:color="auto"/>
            </w:tcBorders>
          </w:tcPr>
          <w:p w14:paraId="3037CD07" w14:textId="77777777" w:rsidR="00387753" w:rsidRPr="00054168" w:rsidRDefault="00387753" w:rsidP="000032F0">
            <w:pPr>
              <w:tabs>
                <w:tab w:val="left" w:pos="8931"/>
              </w:tabs>
              <w:jc w:val="center"/>
              <w:rPr>
                <w:color w:val="000000"/>
              </w:rPr>
            </w:pPr>
            <w:r w:rsidRPr="00054168">
              <w:t>0,7697345</w:t>
            </w:r>
          </w:p>
        </w:tc>
        <w:tc>
          <w:tcPr>
            <w:tcW w:w="1228" w:type="dxa"/>
            <w:tcBorders>
              <w:bottom w:val="single" w:sz="4" w:space="0" w:color="auto"/>
            </w:tcBorders>
          </w:tcPr>
          <w:p w14:paraId="67C165AD" w14:textId="77777777" w:rsidR="00387753" w:rsidRPr="00054168" w:rsidRDefault="00387753" w:rsidP="000032F0">
            <w:pPr>
              <w:tabs>
                <w:tab w:val="left" w:pos="8931"/>
              </w:tabs>
              <w:jc w:val="center"/>
              <w:rPr>
                <w:color w:val="000000"/>
              </w:rPr>
            </w:pPr>
            <w:r w:rsidRPr="00054168">
              <w:t>0,7557784</w:t>
            </w:r>
          </w:p>
        </w:tc>
      </w:tr>
      <w:tr w:rsidR="00387753" w:rsidRPr="00387753" w14:paraId="14ED7C2F" w14:textId="77777777" w:rsidTr="000032F0">
        <w:tc>
          <w:tcPr>
            <w:tcW w:w="3715" w:type="dxa"/>
            <w:shd w:val="clear" w:color="auto" w:fill="auto"/>
            <w:vAlign w:val="center"/>
          </w:tcPr>
          <w:p w14:paraId="534C89A2" w14:textId="77777777" w:rsidR="00387753" w:rsidRPr="00054168" w:rsidRDefault="00387753" w:rsidP="000032F0">
            <w:pPr>
              <w:tabs>
                <w:tab w:val="left" w:pos="8931"/>
              </w:tabs>
              <w:rPr>
                <w:color w:val="000000"/>
              </w:rPr>
            </w:pPr>
            <w:r w:rsidRPr="00054168">
              <w:rPr>
                <w:color w:val="000000"/>
              </w:rPr>
              <w:t>Operações destinadas:</w:t>
            </w:r>
          </w:p>
          <w:p w14:paraId="3A48F98C" w14:textId="77777777" w:rsidR="00387753" w:rsidRPr="00054168" w:rsidRDefault="00387753" w:rsidP="000032F0">
            <w:pPr>
              <w:tabs>
                <w:tab w:val="left" w:pos="8931"/>
              </w:tabs>
              <w:rPr>
                <w:color w:val="000000"/>
              </w:rPr>
            </w:pPr>
            <w:r w:rsidRPr="00054168">
              <w:rPr>
                <w:color w:val="000000"/>
              </w:rPr>
              <w:t>a) ao financiamento de projetos de conservação e proteção do meio ambiente, recuperação de áreas degradadas ou alteradas, recuperação de vegetação nativa e desenvolvimento de atividades sustentáveis no âmbito da Agricultura de Baixo Carbono (ABC), e de áreas com produção certificada, nacional ou internacionalmente, de baixa emissão ou neutralidade em carbono, com base em evidências científicas, desde que o projeto não contemple abertura de novas áreas a partir da supressão de matas/florestas nativas;</w:t>
            </w:r>
          </w:p>
          <w:p w14:paraId="1C9A522B" w14:textId="77777777" w:rsidR="00387753" w:rsidRPr="00054168" w:rsidRDefault="00387753" w:rsidP="000032F0">
            <w:pPr>
              <w:tabs>
                <w:tab w:val="left" w:pos="8931"/>
              </w:tabs>
              <w:rPr>
                <w:color w:val="000000"/>
              </w:rPr>
            </w:pPr>
            <w:r w:rsidRPr="00054168">
              <w:rPr>
                <w:color w:val="000000"/>
              </w:rPr>
              <w:t xml:space="preserve">b) ao financiamento de projetos para inovação tecnológica nas propriedades rurais, inclusive a geração de energia por </w:t>
            </w:r>
            <w:r w:rsidRPr="00054168">
              <w:rPr>
                <w:color w:val="000000"/>
              </w:rPr>
              <w:lastRenderedPageBreak/>
              <w:t>fontes renováveis, observado que a energia deve se destinar exclusivamente ao uso próprio na propriedade rural;</w:t>
            </w:r>
          </w:p>
          <w:p w14:paraId="674EFB15" w14:textId="77777777" w:rsidR="00387753" w:rsidRPr="00054168" w:rsidRDefault="00387753" w:rsidP="000032F0">
            <w:pPr>
              <w:tabs>
                <w:tab w:val="left" w:pos="8931"/>
              </w:tabs>
              <w:rPr>
                <w:color w:val="000000"/>
              </w:rPr>
            </w:pPr>
            <w:r w:rsidRPr="00054168">
              <w:rPr>
                <w:color w:val="000000"/>
              </w:rPr>
              <w:t>c) ampliação, modernização, reforma e construção de novos armazéns.</w:t>
            </w:r>
          </w:p>
        </w:tc>
        <w:tc>
          <w:tcPr>
            <w:tcW w:w="1701" w:type="dxa"/>
            <w:shd w:val="clear" w:color="auto" w:fill="auto"/>
            <w:vAlign w:val="center"/>
          </w:tcPr>
          <w:p w14:paraId="5C034F0F" w14:textId="77777777" w:rsidR="00387753" w:rsidRPr="00054168" w:rsidRDefault="00387753" w:rsidP="000032F0">
            <w:pPr>
              <w:tabs>
                <w:tab w:val="left" w:pos="8931"/>
              </w:tabs>
              <w:jc w:val="center"/>
              <w:rPr>
                <w:color w:val="000000"/>
              </w:rPr>
            </w:pPr>
            <w:r w:rsidRPr="00054168">
              <w:rPr>
                <w:color w:val="000000"/>
              </w:rPr>
              <w:lastRenderedPageBreak/>
              <w:t>Qualquer valor</w:t>
            </w:r>
          </w:p>
        </w:tc>
        <w:tc>
          <w:tcPr>
            <w:tcW w:w="1275" w:type="dxa"/>
            <w:tcBorders>
              <w:right w:val="single" w:sz="4" w:space="0" w:color="auto"/>
            </w:tcBorders>
            <w:shd w:val="clear" w:color="auto" w:fill="auto"/>
            <w:vAlign w:val="center"/>
          </w:tcPr>
          <w:p w14:paraId="05FCEB03" w14:textId="77777777" w:rsidR="00387753" w:rsidRPr="00054168" w:rsidRDefault="00387753" w:rsidP="000032F0">
            <w:pPr>
              <w:tabs>
                <w:tab w:val="left" w:pos="8931"/>
              </w:tabs>
              <w:jc w:val="center"/>
            </w:pPr>
            <w:r w:rsidRPr="00054168">
              <w:t>0,1470709</w:t>
            </w:r>
          </w:p>
        </w:tc>
        <w:tc>
          <w:tcPr>
            <w:tcW w:w="1276" w:type="dxa"/>
            <w:vAlign w:val="center"/>
          </w:tcPr>
          <w:p w14:paraId="52D08F88" w14:textId="77777777" w:rsidR="00387753" w:rsidRPr="00054168" w:rsidRDefault="00387753" w:rsidP="000032F0">
            <w:pPr>
              <w:tabs>
                <w:tab w:val="left" w:pos="8931"/>
              </w:tabs>
              <w:jc w:val="center"/>
            </w:pPr>
            <w:r w:rsidRPr="00054168">
              <w:t>0,0742494</w:t>
            </w:r>
          </w:p>
        </w:tc>
        <w:tc>
          <w:tcPr>
            <w:tcW w:w="1228" w:type="dxa"/>
            <w:tcBorders>
              <w:right w:val="single" w:sz="4" w:space="0" w:color="auto"/>
            </w:tcBorders>
            <w:vAlign w:val="center"/>
          </w:tcPr>
          <w:p w14:paraId="261F2C26" w14:textId="77777777" w:rsidR="00387753" w:rsidRPr="00387753" w:rsidRDefault="00387753" w:rsidP="000032F0">
            <w:pPr>
              <w:tabs>
                <w:tab w:val="left" w:pos="8931"/>
              </w:tabs>
              <w:jc w:val="center"/>
            </w:pPr>
            <w:r w:rsidRPr="00054168">
              <w:t>0,0799609</w:t>
            </w:r>
          </w:p>
        </w:tc>
      </w:tr>
    </w:tbl>
    <w:p w14:paraId="2D550201" w14:textId="77777777" w:rsidR="000A1E23" w:rsidRPr="009472F5" w:rsidRDefault="000A1E23" w:rsidP="007B0E1A">
      <w:pPr>
        <w:tabs>
          <w:tab w:val="right" w:pos="9923"/>
          <w:tab w:val="right" w:pos="10064"/>
        </w:tabs>
        <w:ind w:left="284" w:right="-1" w:hanging="284"/>
        <w:jc w:val="both"/>
      </w:pPr>
    </w:p>
    <w:p w14:paraId="63D0CD0C" w14:textId="7FEEE1B8" w:rsidR="007B0E1A" w:rsidRPr="009472F5" w:rsidRDefault="007B0E1A" w:rsidP="000A1E23">
      <w:pPr>
        <w:tabs>
          <w:tab w:val="right" w:pos="9923"/>
          <w:tab w:val="right" w:pos="10064"/>
        </w:tabs>
        <w:spacing w:after="120"/>
        <w:ind w:left="284" w:hanging="284"/>
        <w:jc w:val="both"/>
      </w:pPr>
      <w:r w:rsidRPr="009472F5">
        <w:t xml:space="preserve"> 13 - O bônus de adimplência será aplicado sobre a parcela da dívida paga até a data do respectivo vencimento, observada a metodologia definida nesta Seção. </w:t>
      </w:r>
      <w:r w:rsidR="00946328" w:rsidRPr="009472F5">
        <w:t xml:space="preserve">(Res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p>
    <w:p w14:paraId="5C571F1F" w14:textId="227ABD6D" w:rsidR="007B0E1A" w:rsidRPr="009472F5" w:rsidRDefault="007B0E1A" w:rsidP="000A1E23">
      <w:pPr>
        <w:tabs>
          <w:tab w:val="right" w:pos="9923"/>
          <w:tab w:val="right" w:pos="10064"/>
        </w:tabs>
        <w:spacing w:after="120"/>
        <w:ind w:left="284" w:hanging="284"/>
        <w:jc w:val="both"/>
      </w:pPr>
      <w:r w:rsidRPr="009472F5">
        <w:t xml:space="preserve">14 - Os encargos financeiros e </w:t>
      </w:r>
      <w:proofErr w:type="gramStart"/>
      <w:r w:rsidRPr="009472F5">
        <w:t>o bônus de adimplência estabelecidos</w:t>
      </w:r>
      <w:proofErr w:type="gramEnd"/>
      <w:r w:rsidRPr="009472F5">
        <w:t xml:space="preserve"> nesta Seção não se aplicam às operações contratadas ao amparo do Pronaf. </w:t>
      </w:r>
      <w:r w:rsidR="00946328" w:rsidRPr="009472F5">
        <w:t xml:space="preserve">(Res </w:t>
      </w:r>
      <w:r w:rsidR="0070612F" w:rsidRPr="009472F5">
        <w:t xml:space="preserve">CMN </w:t>
      </w:r>
      <w:r w:rsidR="00946328" w:rsidRPr="009472F5">
        <w:t xml:space="preserve">4.883 </w:t>
      </w:r>
      <w:proofErr w:type="spellStart"/>
      <w:r w:rsidR="00946328" w:rsidRPr="009472F5">
        <w:t>art</w:t>
      </w:r>
      <w:proofErr w:type="spellEnd"/>
      <w:r w:rsidR="00946328" w:rsidRPr="009472F5">
        <w:t xml:space="preserve"> 1º)</w:t>
      </w:r>
      <w:r w:rsidRPr="009472F5">
        <w:t xml:space="preserve"> </w:t>
      </w:r>
    </w:p>
    <w:p w14:paraId="1551D955" w14:textId="6E2445FB" w:rsidR="007B0E1A" w:rsidRPr="009472F5" w:rsidRDefault="007B0E1A" w:rsidP="000A1E23">
      <w:pPr>
        <w:tabs>
          <w:tab w:val="right" w:pos="9923"/>
          <w:tab w:val="right" w:pos="10064"/>
        </w:tabs>
        <w:spacing w:after="120"/>
        <w:ind w:left="284" w:hanging="284"/>
        <w:jc w:val="both"/>
      </w:pPr>
      <w:r w:rsidRPr="008552B2">
        <w:t xml:space="preserve">15 - </w:t>
      </w:r>
      <w:r w:rsidR="00F979AB" w:rsidRPr="008552B2">
        <w:t>O Banco Central do Brasil deverá divulgar o FII no último dia útil do mês de abril de cada ano, para vigência de 1º de julho a 30 de junho do ano subsequente</w:t>
      </w:r>
      <w:r w:rsidRPr="008552B2">
        <w:t xml:space="preserve">. </w:t>
      </w:r>
      <w:r w:rsidR="00946328" w:rsidRPr="008552B2">
        <w:t xml:space="preserve">(Res </w:t>
      </w:r>
      <w:r w:rsidR="0070612F" w:rsidRPr="008552B2">
        <w:t xml:space="preserve">CMN </w:t>
      </w:r>
      <w:r w:rsidR="00F979AB" w:rsidRPr="008552B2">
        <w:t>5.065</w:t>
      </w:r>
      <w:r w:rsidR="00946328" w:rsidRPr="008552B2">
        <w:t xml:space="preserve"> </w:t>
      </w:r>
      <w:proofErr w:type="spellStart"/>
      <w:r w:rsidR="00946328" w:rsidRPr="008552B2">
        <w:t>art</w:t>
      </w:r>
      <w:proofErr w:type="spellEnd"/>
      <w:r w:rsidR="00946328" w:rsidRPr="008552B2">
        <w:t xml:space="preserve"> </w:t>
      </w:r>
      <w:r w:rsidR="00F979AB" w:rsidRPr="008552B2">
        <w:t>2</w:t>
      </w:r>
      <w:r w:rsidR="00946328" w:rsidRPr="008552B2">
        <w:t>º)</w:t>
      </w:r>
    </w:p>
    <w:p w14:paraId="288AAE56" w14:textId="77777777" w:rsidR="000A1E23" w:rsidRPr="009472F5" w:rsidRDefault="007B0E1A" w:rsidP="000A1E23">
      <w:pPr>
        <w:tabs>
          <w:tab w:val="right" w:pos="9923"/>
          <w:tab w:val="right" w:pos="10064"/>
        </w:tabs>
        <w:spacing w:after="120"/>
        <w:ind w:left="284" w:hanging="284"/>
        <w:jc w:val="both"/>
      </w:pPr>
      <w:r w:rsidRPr="009472F5">
        <w:t>16 - Na ausência de resolução do CMN estabelecendo valor específico, o Fator de Ajuste aplicado na definição das taxas efetivas de juros de que trata esta Seção será 0 (zero) para todas as operações.</w:t>
      </w:r>
      <w:r w:rsidR="00C32231" w:rsidRPr="009472F5">
        <w:t xml:space="preserve"> </w:t>
      </w:r>
      <w:r w:rsidR="00946328" w:rsidRPr="009472F5">
        <w:t xml:space="preserve">(Res </w:t>
      </w:r>
      <w:r w:rsidR="0070612F" w:rsidRPr="009472F5">
        <w:t>CMN</w:t>
      </w:r>
      <w:r w:rsidR="00C32231" w:rsidRPr="009472F5">
        <w:t xml:space="preserve"> </w:t>
      </w:r>
      <w:r w:rsidR="00946328" w:rsidRPr="009472F5">
        <w:t xml:space="preserve">4.883 </w:t>
      </w:r>
      <w:proofErr w:type="spellStart"/>
      <w:r w:rsidR="00946328" w:rsidRPr="009472F5">
        <w:t>art</w:t>
      </w:r>
      <w:proofErr w:type="spellEnd"/>
      <w:r w:rsidR="00946328" w:rsidRPr="009472F5">
        <w:t xml:space="preserve"> 1º)</w:t>
      </w:r>
    </w:p>
    <w:p w14:paraId="500AFC63" w14:textId="512ED0AE" w:rsidR="00A77CE2" w:rsidRPr="007B0E1A" w:rsidRDefault="000A1E23" w:rsidP="009472F5">
      <w:pPr>
        <w:tabs>
          <w:tab w:val="right" w:pos="9923"/>
        </w:tabs>
        <w:spacing w:after="120"/>
        <w:ind w:left="284" w:hanging="284"/>
        <w:jc w:val="both"/>
      </w:pPr>
      <w:r w:rsidRPr="009472F5">
        <w:t xml:space="preserve">17 - Caso a </w:t>
      </w:r>
      <w:proofErr w:type="spellStart"/>
      <w:r w:rsidRPr="009472F5">
        <w:t>TRFC</w:t>
      </w:r>
      <w:r w:rsidRPr="009472F5">
        <w:rPr>
          <w:vertAlign w:val="superscript"/>
        </w:rPr>
        <w:t>pós</w:t>
      </w:r>
      <w:proofErr w:type="spellEnd"/>
      <w:r w:rsidRPr="009472F5">
        <w:t xml:space="preserve"> apresente resultado negativo devido ao valor apurado para o FAM, a </w:t>
      </w:r>
      <w:proofErr w:type="spellStart"/>
      <w:r w:rsidRPr="009472F5">
        <w:t>TRFC</w:t>
      </w:r>
      <w:r w:rsidRPr="009472F5">
        <w:rPr>
          <w:vertAlign w:val="superscript"/>
        </w:rPr>
        <w:t>pós</w:t>
      </w:r>
      <w:proofErr w:type="spellEnd"/>
      <w:r w:rsidRPr="009472F5">
        <w:t xml:space="preserve"> será considerada igual a zero para efeito de cálculo do valor dos encargos do mês de referência.</w:t>
      </w:r>
      <w:r w:rsidR="00946328" w:rsidRPr="009472F5">
        <w:t xml:space="preserve"> </w:t>
      </w:r>
      <w:r w:rsidRPr="009472F5">
        <w:t xml:space="preserve">(Res CMN 5.026 </w:t>
      </w:r>
      <w:proofErr w:type="spellStart"/>
      <w:r w:rsidRPr="009472F5">
        <w:t>art</w:t>
      </w:r>
      <w:proofErr w:type="spellEnd"/>
      <w:r w:rsidRPr="009472F5">
        <w:t xml:space="preserve"> 1º)</w:t>
      </w:r>
    </w:p>
    <w:sectPr w:rsidR="00A77CE2" w:rsidRPr="007B0E1A" w:rsidSect="00026AE3">
      <w:headerReference w:type="default" r:id="rId14"/>
      <w:footerReference w:type="default" r:id="rId15"/>
      <w:footerReference w:type="first" r:id="rId16"/>
      <w:type w:val="continuous"/>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75A9" w14:textId="77777777" w:rsidR="000735E5" w:rsidRDefault="000735E5">
      <w:r>
        <w:separator/>
      </w:r>
    </w:p>
  </w:endnote>
  <w:endnote w:type="continuationSeparator" w:id="0">
    <w:p w14:paraId="57AF459D" w14:textId="77777777" w:rsidR="000735E5" w:rsidRDefault="0007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B355" w14:textId="77777777" w:rsidR="002228FE" w:rsidRDefault="002228FE" w:rsidP="002228FE">
    <w:pPr>
      <w:pStyle w:val="TextosemFormatao"/>
      <w:rPr>
        <w:rFonts w:ascii="Times New Roman" w:hAnsi="Times New Roman"/>
      </w:rPr>
    </w:pPr>
    <w:r>
      <w:rPr>
        <w:rFonts w:ascii="Times New Roman" w:hAnsi="Times New Roman"/>
      </w:rPr>
      <w:t>____________________________________________________________________________________________</w:t>
    </w:r>
  </w:p>
  <w:p w14:paraId="609598EC" w14:textId="18D5A055" w:rsidR="002228FE" w:rsidRDefault="005D42C1" w:rsidP="005D42C1">
    <w:pPr>
      <w:pStyle w:val="Rodap"/>
    </w:pPr>
    <w:r>
      <w:t>Atualização MCR nº 720, de 19 de julho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9A90" w14:textId="77777777" w:rsidR="00DB7368" w:rsidRDefault="00DB7368" w:rsidP="00DB7368">
    <w:pPr>
      <w:pStyle w:val="TextosemFormatao"/>
      <w:rPr>
        <w:rFonts w:ascii="Times New Roman" w:hAnsi="Times New Roman"/>
      </w:rPr>
    </w:pPr>
    <w:r>
      <w:rPr>
        <w:rFonts w:ascii="Times New Roman" w:hAnsi="Times New Roman"/>
      </w:rPr>
      <w:t>____________________________________________________________________________________________</w:t>
    </w:r>
  </w:p>
  <w:p w14:paraId="6954CA04" w14:textId="74D6E001" w:rsidR="005D42C1" w:rsidRDefault="005D42C1" w:rsidP="005D42C1">
    <w:pPr>
      <w:pStyle w:val="Rodap"/>
    </w:pPr>
    <w:r>
      <w:t>Atualização MCR nº 720, de 19 de julho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C3F4" w14:textId="77777777" w:rsidR="000735E5" w:rsidRDefault="000735E5">
      <w:r>
        <w:separator/>
      </w:r>
    </w:p>
  </w:footnote>
  <w:footnote w:type="continuationSeparator" w:id="0">
    <w:p w14:paraId="64A3C995" w14:textId="77777777" w:rsidR="000735E5" w:rsidRDefault="0007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1E34" w14:textId="77777777" w:rsidR="00DB7368" w:rsidRPr="00D6205A" w:rsidRDefault="00DB7368" w:rsidP="00DB7368">
    <w:pPr>
      <w:pStyle w:val="Cabealho"/>
      <w:tabs>
        <w:tab w:val="clear" w:pos="4419"/>
        <w:tab w:val="clear" w:pos="8838"/>
        <w:tab w:val="left" w:pos="993"/>
        <w:tab w:val="right" w:pos="9639"/>
        <w:tab w:val="right" w:pos="9923"/>
      </w:tabs>
    </w:pPr>
    <w:r w:rsidRPr="00D6205A">
      <w:t>TÍTULO</w:t>
    </w:r>
    <w:r w:rsidRPr="00D6205A">
      <w:tab/>
      <w:t>: CRÉDITO RURAL</w:t>
    </w:r>
    <w:r w:rsidRPr="00D6205A">
      <w:tab/>
    </w:r>
    <w:r w:rsidRPr="00D6205A">
      <w:fldChar w:fldCharType="begin"/>
    </w:r>
    <w:r w:rsidRPr="00D6205A">
      <w:instrText xml:space="preserve"> PAGE  \* MERGEFORMAT </w:instrText>
    </w:r>
    <w:r w:rsidRPr="00D6205A">
      <w:fldChar w:fldCharType="separate"/>
    </w:r>
    <w:r w:rsidR="00284D3D">
      <w:rPr>
        <w:noProof/>
      </w:rPr>
      <w:t>3</w:t>
    </w:r>
    <w:r w:rsidRPr="00D6205A">
      <w:fldChar w:fldCharType="end"/>
    </w:r>
  </w:p>
  <w:p w14:paraId="1D536AAA" w14:textId="77777777" w:rsidR="00DB7368" w:rsidRPr="00D6205A" w:rsidRDefault="00DB7368" w:rsidP="00DB7368">
    <w:pPr>
      <w:pStyle w:val="Cabealho"/>
      <w:tabs>
        <w:tab w:val="clear" w:pos="4419"/>
        <w:tab w:val="clear" w:pos="8838"/>
        <w:tab w:val="left" w:pos="993"/>
        <w:tab w:val="right" w:pos="9639"/>
        <w:tab w:val="right" w:pos="9923"/>
      </w:tabs>
    </w:pPr>
    <w:r w:rsidRPr="00D6205A">
      <w:t>CAPÍTULO</w:t>
    </w:r>
    <w:r w:rsidRPr="00D6205A">
      <w:tab/>
      <w:t>: Condições Básicas - 2</w:t>
    </w:r>
  </w:p>
  <w:p w14:paraId="242FB0F5" w14:textId="64DFFA0F" w:rsidR="00DB7368" w:rsidRPr="00D6205A" w:rsidRDefault="00DB7368" w:rsidP="00AC5F85">
    <w:pPr>
      <w:pStyle w:val="Cabealho"/>
      <w:tabs>
        <w:tab w:val="clear" w:pos="4419"/>
        <w:tab w:val="clear" w:pos="8838"/>
        <w:tab w:val="left" w:pos="993"/>
        <w:tab w:val="right" w:pos="9923"/>
      </w:tabs>
      <w:ind w:left="1134" w:hanging="1134"/>
    </w:pPr>
    <w:r w:rsidRPr="00D6205A">
      <w:t>SEÇÃO</w:t>
    </w:r>
    <w:r w:rsidRPr="00D6205A">
      <w:tab/>
      <w:t xml:space="preserve">: </w:t>
    </w:r>
    <w:r w:rsidR="00A77CE2">
      <w:t xml:space="preserve">Metodologia de cálculo das </w:t>
    </w:r>
    <w:r w:rsidR="00A77CE2" w:rsidRPr="00D9269B">
      <w:t>Taxas de Juros Rurai</w:t>
    </w:r>
    <w:r w:rsidR="00A77CE2">
      <w:t xml:space="preserve">s dos Fundos Constitucionais de </w:t>
    </w:r>
    <w:r w:rsidR="00A77CE2" w:rsidRPr="00D9269B">
      <w:t>Financiamento (TRFC)</w:t>
    </w:r>
    <w:r w:rsidR="00A77CE2">
      <w:t xml:space="preserve"> -</w:t>
    </w:r>
    <w:r w:rsidR="00A77CE2" w:rsidRPr="00D6205A">
      <w:t xml:space="preserve"> </w:t>
    </w:r>
    <w:r w:rsidR="00A77CE2">
      <w:t>4-</w:t>
    </w:r>
    <w:r w:rsidR="006A21B7">
      <w:t>A</w:t>
    </w:r>
  </w:p>
  <w:p w14:paraId="54A47F7E" w14:textId="77777777" w:rsidR="00DB7368" w:rsidRPr="00D6205A" w:rsidRDefault="00DB7368" w:rsidP="00DB7368">
    <w:pPr>
      <w:pStyle w:val="Cabealho"/>
      <w:tabs>
        <w:tab w:val="clear" w:pos="4419"/>
        <w:tab w:val="clear" w:pos="8838"/>
        <w:tab w:val="left" w:pos="993"/>
        <w:tab w:val="right" w:pos="9639"/>
        <w:tab w:val="right" w:pos="9923"/>
      </w:tabs>
    </w:pPr>
    <w:r w:rsidRPr="00D6205A">
      <w:t>_____________________________________________________________________________________________</w:t>
    </w:r>
  </w:p>
  <w:p w14:paraId="45BBF278" w14:textId="77777777" w:rsidR="00DB7368" w:rsidRDefault="00DB73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1DDE"/>
    <w:multiLevelType w:val="hybridMultilevel"/>
    <w:tmpl w:val="6F62848C"/>
    <w:lvl w:ilvl="0" w:tplc="EADEFBE6">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2" w15:restartNumberingAfterBreak="0">
    <w:nsid w:val="3F850590"/>
    <w:multiLevelType w:val="hybridMultilevel"/>
    <w:tmpl w:val="529A3698"/>
    <w:lvl w:ilvl="0" w:tplc="5A88A0B8">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num w:numId="1" w16cid:durableId="1977488936">
    <w:abstractNumId w:val="1"/>
  </w:num>
  <w:num w:numId="2" w16cid:durableId="2045321534">
    <w:abstractNumId w:val="2"/>
  </w:num>
  <w:num w:numId="3" w16cid:durableId="53839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attachedTemplate r:id="rId1"/>
  <w:doNotTrackMoves/>
  <w:defaultTabStop w:val="720"/>
  <w:consecutiveHyphenLimit w:val="9"/>
  <w:hyphenationZone w:val="142"/>
  <w:drawingGridHorizontalSpacing w:val="100"/>
  <w:displayHorizontalDrawingGridEvery w:val="0"/>
  <w:displayVerticalDrawingGridEvery w:val="0"/>
  <w:noPunctuationKerning/>
  <w:characterSpacingControl w:val="doNotCompress"/>
  <w:hdrShapeDefaults>
    <o:shapedefaults v:ext="edit" spidmax="1679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5E4"/>
    <w:rsid w:val="00001A38"/>
    <w:rsid w:val="00015EB8"/>
    <w:rsid w:val="00026AE3"/>
    <w:rsid w:val="00031D53"/>
    <w:rsid w:val="00041156"/>
    <w:rsid w:val="000421A4"/>
    <w:rsid w:val="000460FF"/>
    <w:rsid w:val="00050CAD"/>
    <w:rsid w:val="00054168"/>
    <w:rsid w:val="000705FB"/>
    <w:rsid w:val="000735E5"/>
    <w:rsid w:val="00095EBC"/>
    <w:rsid w:val="000A1E23"/>
    <w:rsid w:val="000A53E1"/>
    <w:rsid w:val="000A7F76"/>
    <w:rsid w:val="000B549C"/>
    <w:rsid w:val="000B639D"/>
    <w:rsid w:val="000C176E"/>
    <w:rsid w:val="000D17D2"/>
    <w:rsid w:val="000D43CB"/>
    <w:rsid w:val="000D7538"/>
    <w:rsid w:val="000E4955"/>
    <w:rsid w:val="000E54EB"/>
    <w:rsid w:val="000F17F7"/>
    <w:rsid w:val="001003EA"/>
    <w:rsid w:val="00103914"/>
    <w:rsid w:val="00105D74"/>
    <w:rsid w:val="00124C4A"/>
    <w:rsid w:val="0013037B"/>
    <w:rsid w:val="0015345D"/>
    <w:rsid w:val="00157E15"/>
    <w:rsid w:val="00160AD1"/>
    <w:rsid w:val="00165EFD"/>
    <w:rsid w:val="00190CC7"/>
    <w:rsid w:val="001922F1"/>
    <w:rsid w:val="00194F7D"/>
    <w:rsid w:val="00195D8A"/>
    <w:rsid w:val="001A090D"/>
    <w:rsid w:val="001B01E3"/>
    <w:rsid w:val="001B217F"/>
    <w:rsid w:val="001B21B4"/>
    <w:rsid w:val="001B3701"/>
    <w:rsid w:val="001B6398"/>
    <w:rsid w:val="001B6F0E"/>
    <w:rsid w:val="001C0906"/>
    <w:rsid w:val="001C6C09"/>
    <w:rsid w:val="001D3D0B"/>
    <w:rsid w:val="001E6CCA"/>
    <w:rsid w:val="001F0A28"/>
    <w:rsid w:val="001F739D"/>
    <w:rsid w:val="002002F0"/>
    <w:rsid w:val="00215FB4"/>
    <w:rsid w:val="00216822"/>
    <w:rsid w:val="002228FE"/>
    <w:rsid w:val="0023611F"/>
    <w:rsid w:val="00236B63"/>
    <w:rsid w:val="00247285"/>
    <w:rsid w:val="00250B67"/>
    <w:rsid w:val="00277440"/>
    <w:rsid w:val="00283695"/>
    <w:rsid w:val="00284D3D"/>
    <w:rsid w:val="002917F8"/>
    <w:rsid w:val="002A1775"/>
    <w:rsid w:val="002B0ABC"/>
    <w:rsid w:val="002B0F2E"/>
    <w:rsid w:val="002B531F"/>
    <w:rsid w:val="002B746B"/>
    <w:rsid w:val="002D4942"/>
    <w:rsid w:val="002D5301"/>
    <w:rsid w:val="002D705F"/>
    <w:rsid w:val="002F12E2"/>
    <w:rsid w:val="002F4835"/>
    <w:rsid w:val="00303930"/>
    <w:rsid w:val="00321918"/>
    <w:rsid w:val="0032499F"/>
    <w:rsid w:val="0033171D"/>
    <w:rsid w:val="00343926"/>
    <w:rsid w:val="003456A5"/>
    <w:rsid w:val="003526D3"/>
    <w:rsid w:val="0035720B"/>
    <w:rsid w:val="0035739B"/>
    <w:rsid w:val="00365A1D"/>
    <w:rsid w:val="00365D85"/>
    <w:rsid w:val="0037052D"/>
    <w:rsid w:val="003731AD"/>
    <w:rsid w:val="0038005E"/>
    <w:rsid w:val="00382066"/>
    <w:rsid w:val="0038637E"/>
    <w:rsid w:val="00387753"/>
    <w:rsid w:val="00393BAA"/>
    <w:rsid w:val="00397754"/>
    <w:rsid w:val="003A24B1"/>
    <w:rsid w:val="003A59F8"/>
    <w:rsid w:val="003A7899"/>
    <w:rsid w:val="003A78B9"/>
    <w:rsid w:val="003B27DA"/>
    <w:rsid w:val="003B79E9"/>
    <w:rsid w:val="003C44E2"/>
    <w:rsid w:val="003D131E"/>
    <w:rsid w:val="003E52CD"/>
    <w:rsid w:val="003F5F12"/>
    <w:rsid w:val="003F615F"/>
    <w:rsid w:val="003F6733"/>
    <w:rsid w:val="0041373F"/>
    <w:rsid w:val="0042333C"/>
    <w:rsid w:val="00431208"/>
    <w:rsid w:val="0043132E"/>
    <w:rsid w:val="00433742"/>
    <w:rsid w:val="00446158"/>
    <w:rsid w:val="00446F62"/>
    <w:rsid w:val="00456A66"/>
    <w:rsid w:val="00461571"/>
    <w:rsid w:val="0046735F"/>
    <w:rsid w:val="00470179"/>
    <w:rsid w:val="004769EF"/>
    <w:rsid w:val="00481956"/>
    <w:rsid w:val="00481AF6"/>
    <w:rsid w:val="004823FE"/>
    <w:rsid w:val="00483F0C"/>
    <w:rsid w:val="00484415"/>
    <w:rsid w:val="0048666A"/>
    <w:rsid w:val="0049155B"/>
    <w:rsid w:val="0049254A"/>
    <w:rsid w:val="004928D2"/>
    <w:rsid w:val="004D0E70"/>
    <w:rsid w:val="004D3665"/>
    <w:rsid w:val="004D385D"/>
    <w:rsid w:val="004F4D2A"/>
    <w:rsid w:val="00500856"/>
    <w:rsid w:val="00501481"/>
    <w:rsid w:val="00504390"/>
    <w:rsid w:val="005058DA"/>
    <w:rsid w:val="00506A05"/>
    <w:rsid w:val="00507894"/>
    <w:rsid w:val="0051006A"/>
    <w:rsid w:val="0051228E"/>
    <w:rsid w:val="00553A4E"/>
    <w:rsid w:val="005740B9"/>
    <w:rsid w:val="005750BF"/>
    <w:rsid w:val="005866F9"/>
    <w:rsid w:val="005A5797"/>
    <w:rsid w:val="005C0A23"/>
    <w:rsid w:val="005D014D"/>
    <w:rsid w:val="005D30A5"/>
    <w:rsid w:val="005D42C1"/>
    <w:rsid w:val="005D7E21"/>
    <w:rsid w:val="005E1ECD"/>
    <w:rsid w:val="005E2F31"/>
    <w:rsid w:val="005E44DC"/>
    <w:rsid w:val="006022AB"/>
    <w:rsid w:val="00606056"/>
    <w:rsid w:val="0063334A"/>
    <w:rsid w:val="0064534D"/>
    <w:rsid w:val="006607F7"/>
    <w:rsid w:val="00664A90"/>
    <w:rsid w:val="00664D3E"/>
    <w:rsid w:val="006711B8"/>
    <w:rsid w:val="0067510D"/>
    <w:rsid w:val="006753B4"/>
    <w:rsid w:val="00681671"/>
    <w:rsid w:val="00682138"/>
    <w:rsid w:val="006833EC"/>
    <w:rsid w:val="00686EF7"/>
    <w:rsid w:val="00695670"/>
    <w:rsid w:val="006A21B7"/>
    <w:rsid w:val="006C73E6"/>
    <w:rsid w:val="006D03CC"/>
    <w:rsid w:val="006D0870"/>
    <w:rsid w:val="006E17CB"/>
    <w:rsid w:val="006E4B2C"/>
    <w:rsid w:val="006E66B0"/>
    <w:rsid w:val="006F3CF5"/>
    <w:rsid w:val="006F50EE"/>
    <w:rsid w:val="00701745"/>
    <w:rsid w:val="0070612F"/>
    <w:rsid w:val="00710DFC"/>
    <w:rsid w:val="00714604"/>
    <w:rsid w:val="007331DA"/>
    <w:rsid w:val="00736529"/>
    <w:rsid w:val="007368E6"/>
    <w:rsid w:val="00746D7A"/>
    <w:rsid w:val="0075347B"/>
    <w:rsid w:val="007535F8"/>
    <w:rsid w:val="00754744"/>
    <w:rsid w:val="00763804"/>
    <w:rsid w:val="007666A1"/>
    <w:rsid w:val="007711C3"/>
    <w:rsid w:val="0077157C"/>
    <w:rsid w:val="00773999"/>
    <w:rsid w:val="00795F59"/>
    <w:rsid w:val="00797690"/>
    <w:rsid w:val="007A2FF6"/>
    <w:rsid w:val="007B0E1A"/>
    <w:rsid w:val="007B4276"/>
    <w:rsid w:val="007D3159"/>
    <w:rsid w:val="007F055D"/>
    <w:rsid w:val="007F3D76"/>
    <w:rsid w:val="007F5DEB"/>
    <w:rsid w:val="0080291C"/>
    <w:rsid w:val="00806009"/>
    <w:rsid w:val="00811373"/>
    <w:rsid w:val="00844267"/>
    <w:rsid w:val="00847D4E"/>
    <w:rsid w:val="008552B2"/>
    <w:rsid w:val="00862058"/>
    <w:rsid w:val="00866712"/>
    <w:rsid w:val="008678D4"/>
    <w:rsid w:val="00875222"/>
    <w:rsid w:val="008921F4"/>
    <w:rsid w:val="0089532A"/>
    <w:rsid w:val="008B321D"/>
    <w:rsid w:val="008B3CDD"/>
    <w:rsid w:val="008C101C"/>
    <w:rsid w:val="008C20F8"/>
    <w:rsid w:val="008D1405"/>
    <w:rsid w:val="008D56CA"/>
    <w:rsid w:val="008D6F75"/>
    <w:rsid w:val="008E5CDC"/>
    <w:rsid w:val="00907325"/>
    <w:rsid w:val="00911476"/>
    <w:rsid w:val="009173B3"/>
    <w:rsid w:val="00926E58"/>
    <w:rsid w:val="00942574"/>
    <w:rsid w:val="009445E4"/>
    <w:rsid w:val="0094539B"/>
    <w:rsid w:val="00945DDD"/>
    <w:rsid w:val="00946328"/>
    <w:rsid w:val="009472F5"/>
    <w:rsid w:val="0094777A"/>
    <w:rsid w:val="009628FF"/>
    <w:rsid w:val="009636EE"/>
    <w:rsid w:val="00963E0A"/>
    <w:rsid w:val="00964959"/>
    <w:rsid w:val="00976833"/>
    <w:rsid w:val="00983217"/>
    <w:rsid w:val="00984F98"/>
    <w:rsid w:val="00986768"/>
    <w:rsid w:val="009867B9"/>
    <w:rsid w:val="00997256"/>
    <w:rsid w:val="009B0979"/>
    <w:rsid w:val="009B38C2"/>
    <w:rsid w:val="009C001C"/>
    <w:rsid w:val="009C18D4"/>
    <w:rsid w:val="009D145D"/>
    <w:rsid w:val="009D407D"/>
    <w:rsid w:val="009E3046"/>
    <w:rsid w:val="009F4873"/>
    <w:rsid w:val="009F6C76"/>
    <w:rsid w:val="009F75DF"/>
    <w:rsid w:val="00A00BE2"/>
    <w:rsid w:val="00A0638A"/>
    <w:rsid w:val="00A07D00"/>
    <w:rsid w:val="00A1038E"/>
    <w:rsid w:val="00A1170F"/>
    <w:rsid w:val="00A16E70"/>
    <w:rsid w:val="00A2274F"/>
    <w:rsid w:val="00A434DB"/>
    <w:rsid w:val="00A61573"/>
    <w:rsid w:val="00A63758"/>
    <w:rsid w:val="00A63B48"/>
    <w:rsid w:val="00A7027E"/>
    <w:rsid w:val="00A77CE2"/>
    <w:rsid w:val="00A8062D"/>
    <w:rsid w:val="00A83E20"/>
    <w:rsid w:val="00A83EBF"/>
    <w:rsid w:val="00A91F46"/>
    <w:rsid w:val="00AA3BC3"/>
    <w:rsid w:val="00AA42EA"/>
    <w:rsid w:val="00AA4DE0"/>
    <w:rsid w:val="00AA63E6"/>
    <w:rsid w:val="00AA69AF"/>
    <w:rsid w:val="00AB58F1"/>
    <w:rsid w:val="00AC1275"/>
    <w:rsid w:val="00AC2B54"/>
    <w:rsid w:val="00AC5F85"/>
    <w:rsid w:val="00AD0E71"/>
    <w:rsid w:val="00AD384B"/>
    <w:rsid w:val="00AE1C83"/>
    <w:rsid w:val="00AE537F"/>
    <w:rsid w:val="00AE6A11"/>
    <w:rsid w:val="00AE71EC"/>
    <w:rsid w:val="00AF0EAF"/>
    <w:rsid w:val="00AF7B7B"/>
    <w:rsid w:val="00B00449"/>
    <w:rsid w:val="00B05D65"/>
    <w:rsid w:val="00B218A1"/>
    <w:rsid w:val="00B35474"/>
    <w:rsid w:val="00B5587F"/>
    <w:rsid w:val="00B55E3B"/>
    <w:rsid w:val="00B64EA6"/>
    <w:rsid w:val="00B70845"/>
    <w:rsid w:val="00B76427"/>
    <w:rsid w:val="00B815A7"/>
    <w:rsid w:val="00B92450"/>
    <w:rsid w:val="00BB1E21"/>
    <w:rsid w:val="00BB6726"/>
    <w:rsid w:val="00BC387C"/>
    <w:rsid w:val="00BD57A0"/>
    <w:rsid w:val="00BE5897"/>
    <w:rsid w:val="00BF2B4A"/>
    <w:rsid w:val="00C05100"/>
    <w:rsid w:val="00C10AB3"/>
    <w:rsid w:val="00C1188A"/>
    <w:rsid w:val="00C118BD"/>
    <w:rsid w:val="00C1289A"/>
    <w:rsid w:val="00C1386B"/>
    <w:rsid w:val="00C32231"/>
    <w:rsid w:val="00C33303"/>
    <w:rsid w:val="00C355DD"/>
    <w:rsid w:val="00C3563E"/>
    <w:rsid w:val="00C60CC3"/>
    <w:rsid w:val="00C613F3"/>
    <w:rsid w:val="00C6373A"/>
    <w:rsid w:val="00C673CC"/>
    <w:rsid w:val="00C71114"/>
    <w:rsid w:val="00C76539"/>
    <w:rsid w:val="00C95BE7"/>
    <w:rsid w:val="00C97621"/>
    <w:rsid w:val="00C97FF3"/>
    <w:rsid w:val="00CA1C6C"/>
    <w:rsid w:val="00CC5C85"/>
    <w:rsid w:val="00CD7FCD"/>
    <w:rsid w:val="00CE0D47"/>
    <w:rsid w:val="00CE4EF7"/>
    <w:rsid w:val="00CE6DD2"/>
    <w:rsid w:val="00CF1E37"/>
    <w:rsid w:val="00D06D71"/>
    <w:rsid w:val="00D208B6"/>
    <w:rsid w:val="00D21FEA"/>
    <w:rsid w:val="00D25856"/>
    <w:rsid w:val="00D25954"/>
    <w:rsid w:val="00D42862"/>
    <w:rsid w:val="00D45AAF"/>
    <w:rsid w:val="00D5213E"/>
    <w:rsid w:val="00D61591"/>
    <w:rsid w:val="00D6205A"/>
    <w:rsid w:val="00D808CF"/>
    <w:rsid w:val="00D9269B"/>
    <w:rsid w:val="00D97A9D"/>
    <w:rsid w:val="00DA0833"/>
    <w:rsid w:val="00DB126E"/>
    <w:rsid w:val="00DB1A2E"/>
    <w:rsid w:val="00DB2BC6"/>
    <w:rsid w:val="00DB7368"/>
    <w:rsid w:val="00DC3C26"/>
    <w:rsid w:val="00DC6FE0"/>
    <w:rsid w:val="00DD1C8F"/>
    <w:rsid w:val="00DE22A4"/>
    <w:rsid w:val="00DE4045"/>
    <w:rsid w:val="00E13A5F"/>
    <w:rsid w:val="00E206A0"/>
    <w:rsid w:val="00E22F17"/>
    <w:rsid w:val="00E2417A"/>
    <w:rsid w:val="00E245E6"/>
    <w:rsid w:val="00E34B50"/>
    <w:rsid w:val="00E35C5C"/>
    <w:rsid w:val="00E45574"/>
    <w:rsid w:val="00E46AE2"/>
    <w:rsid w:val="00E60B90"/>
    <w:rsid w:val="00E701F9"/>
    <w:rsid w:val="00E771EB"/>
    <w:rsid w:val="00E86228"/>
    <w:rsid w:val="00E9225F"/>
    <w:rsid w:val="00E9372E"/>
    <w:rsid w:val="00E95F04"/>
    <w:rsid w:val="00EA0471"/>
    <w:rsid w:val="00EB3AF9"/>
    <w:rsid w:val="00EB5695"/>
    <w:rsid w:val="00EB6F64"/>
    <w:rsid w:val="00EC5C7E"/>
    <w:rsid w:val="00EC75E1"/>
    <w:rsid w:val="00ED01F3"/>
    <w:rsid w:val="00ED35C3"/>
    <w:rsid w:val="00ED377A"/>
    <w:rsid w:val="00EE250F"/>
    <w:rsid w:val="00EF4B74"/>
    <w:rsid w:val="00F10CC1"/>
    <w:rsid w:val="00F22B6F"/>
    <w:rsid w:val="00F23B7A"/>
    <w:rsid w:val="00F31AED"/>
    <w:rsid w:val="00F328E4"/>
    <w:rsid w:val="00F53A93"/>
    <w:rsid w:val="00F55CAB"/>
    <w:rsid w:val="00F56AAC"/>
    <w:rsid w:val="00F8231D"/>
    <w:rsid w:val="00F82DB2"/>
    <w:rsid w:val="00F8338B"/>
    <w:rsid w:val="00F86348"/>
    <w:rsid w:val="00F8634C"/>
    <w:rsid w:val="00F92A3B"/>
    <w:rsid w:val="00F92C6D"/>
    <w:rsid w:val="00F943AD"/>
    <w:rsid w:val="00F979AB"/>
    <w:rsid w:val="00FA291E"/>
    <w:rsid w:val="00FA6CE3"/>
    <w:rsid w:val="00FC2039"/>
    <w:rsid w:val="00FC2E7A"/>
    <w:rsid w:val="00FC2F77"/>
    <w:rsid w:val="00FD0ABB"/>
    <w:rsid w:val="00FD3CD9"/>
    <w:rsid w:val="00FD7391"/>
    <w:rsid w:val="00FE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385F3324"/>
  <w15:chartTrackingRefBased/>
  <w15:docId w15:val="{3163896E-FDC8-4059-8F72-8842D558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styleId="Corpodetexto2">
    <w:name w:val="Body Text 2"/>
    <w:basedOn w:val="Normal"/>
    <w:semiHidden/>
    <w:pPr>
      <w:tabs>
        <w:tab w:val="left" w:pos="1418"/>
      </w:tabs>
      <w:jc w:val="both"/>
    </w:pPr>
    <w:rPr>
      <w:color w:val="000000"/>
      <w:sz w:val="24"/>
    </w:rPr>
  </w:style>
  <w:style w:type="paragraph" w:styleId="Corpodetexto3">
    <w:name w:val="Body Text 3"/>
    <w:basedOn w:val="Normal"/>
    <w:semiHidden/>
    <w:rPr>
      <w:color w:val="000000"/>
    </w:rPr>
  </w:style>
  <w:style w:type="paragraph" w:styleId="Textodebalo">
    <w:name w:val="Balloon Text"/>
    <w:basedOn w:val="Normal"/>
    <w:link w:val="TextodebaloChar"/>
    <w:uiPriority w:val="99"/>
    <w:semiHidden/>
    <w:unhideWhenUsed/>
    <w:rsid w:val="00095EBC"/>
    <w:rPr>
      <w:rFonts w:ascii="Tahoma" w:hAnsi="Tahoma" w:cs="Tahoma"/>
      <w:sz w:val="16"/>
      <w:szCs w:val="16"/>
    </w:rPr>
  </w:style>
  <w:style w:type="character" w:customStyle="1" w:styleId="TextodebaloChar">
    <w:name w:val="Texto de balão Char"/>
    <w:link w:val="Textodebalo"/>
    <w:uiPriority w:val="99"/>
    <w:semiHidden/>
    <w:rsid w:val="00095EBC"/>
    <w:rPr>
      <w:rFonts w:ascii="Tahoma" w:hAnsi="Tahoma" w:cs="Tahoma"/>
      <w:sz w:val="16"/>
      <w:szCs w:val="16"/>
    </w:rPr>
  </w:style>
  <w:style w:type="character" w:customStyle="1" w:styleId="RodapChar">
    <w:name w:val="Rodapé Char"/>
    <w:basedOn w:val="Fontepargpadro"/>
    <w:link w:val="Rodap"/>
    <w:semiHidden/>
    <w:rsid w:val="00B64EA6"/>
  </w:style>
  <w:style w:type="paragraph" w:customStyle="1" w:styleId="Paragrafo">
    <w:name w:val="Paragrafo"/>
    <w:basedOn w:val="Normal"/>
    <w:link w:val="ParagrafoChar"/>
    <w:qFormat/>
    <w:rsid w:val="007B0E1A"/>
    <w:pPr>
      <w:ind w:firstLine="1418"/>
    </w:pPr>
    <w:rPr>
      <w:rFonts w:eastAsia="Calibri"/>
      <w:sz w:val="24"/>
      <w:szCs w:val="24"/>
      <w:lang w:eastAsia="en-US"/>
    </w:rPr>
  </w:style>
  <w:style w:type="character" w:customStyle="1" w:styleId="ParagrafoChar">
    <w:name w:val="Paragrafo Char"/>
    <w:link w:val="Paragrafo"/>
    <w:rsid w:val="007B0E1A"/>
    <w:rPr>
      <w:rFonts w:eastAsia="Calibri"/>
      <w:sz w:val="24"/>
      <w:szCs w:val="24"/>
      <w:lang w:eastAsia="en-US"/>
    </w:rPr>
  </w:style>
  <w:style w:type="table" w:styleId="Tabelacomgrade">
    <w:name w:val="Table Grid"/>
    <w:basedOn w:val="Tabelanormal"/>
    <w:uiPriority w:val="59"/>
    <w:rsid w:val="00C355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0299">
      <w:bodyDiv w:val="1"/>
      <w:marLeft w:val="0"/>
      <w:marRight w:val="0"/>
      <w:marTop w:val="0"/>
      <w:marBottom w:val="0"/>
      <w:divBdr>
        <w:top w:val="none" w:sz="0" w:space="0" w:color="auto"/>
        <w:left w:val="none" w:sz="0" w:space="0" w:color="auto"/>
        <w:bottom w:val="none" w:sz="0" w:space="0" w:color="auto"/>
        <w:right w:val="none" w:sz="0" w:space="0" w:color="auto"/>
      </w:divBdr>
    </w:div>
    <w:div w:id="6280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F400-CCB5-4FA8-AC13-0656FDA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1003</TotalTime>
  <Pages>3</Pages>
  <Words>1439</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Jordao Salino</cp:lastModifiedBy>
  <cp:revision>182</cp:revision>
  <cp:lastPrinted>2018-06-28T18:34:00Z</cp:lastPrinted>
  <dcterms:created xsi:type="dcterms:W3CDTF">2014-07-23T14:26:00Z</dcterms:created>
  <dcterms:modified xsi:type="dcterms:W3CDTF">2023-07-17T12:32:00Z</dcterms:modified>
</cp:coreProperties>
</file>