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33D6" w14:textId="77777777" w:rsidR="00F22B6F" w:rsidRPr="00115504" w:rsidRDefault="00F22B6F" w:rsidP="00710DFC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115504">
        <w:t>TÍTULO</w:t>
      </w:r>
      <w:r w:rsidRPr="00115504">
        <w:tab/>
        <w:t>: CRÉDITO RURAL</w:t>
      </w:r>
      <w:r w:rsidRPr="00115504">
        <w:tab/>
      </w:r>
      <w:r w:rsidRPr="00115504">
        <w:fldChar w:fldCharType="begin"/>
      </w:r>
      <w:r w:rsidRPr="00115504">
        <w:instrText xml:space="preserve"> PAGE  \* MERGEFORMAT </w:instrText>
      </w:r>
      <w:r w:rsidRPr="00115504">
        <w:fldChar w:fldCharType="separate"/>
      </w:r>
      <w:r w:rsidR="00D97A9D" w:rsidRPr="00115504">
        <w:rPr>
          <w:noProof/>
        </w:rPr>
        <w:t>1</w:t>
      </w:r>
      <w:r w:rsidRPr="00115504">
        <w:fldChar w:fldCharType="end"/>
      </w:r>
    </w:p>
    <w:p w14:paraId="53D898A5" w14:textId="77777777" w:rsidR="00F22B6F" w:rsidRPr="00115504" w:rsidRDefault="00F22B6F" w:rsidP="00710DFC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115504">
        <w:t>CAPÍTULO</w:t>
      </w:r>
      <w:r w:rsidRPr="00115504">
        <w:tab/>
        <w:t xml:space="preserve">: </w:t>
      </w:r>
      <w:r w:rsidR="00763804" w:rsidRPr="00115504">
        <w:t>Condições Básicas - 2</w:t>
      </w:r>
    </w:p>
    <w:p w14:paraId="3764CE2E" w14:textId="50958316" w:rsidR="00F22B6F" w:rsidRPr="00115504" w:rsidRDefault="00F22B6F" w:rsidP="00617006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115504">
        <w:t>SEÇÃO</w:t>
      </w:r>
      <w:r w:rsidRPr="00115504">
        <w:tab/>
        <w:t xml:space="preserve">: </w:t>
      </w:r>
      <w:r w:rsidR="00D6205A" w:rsidRPr="00115504">
        <w:t>Metodologia de cálculo da</w:t>
      </w:r>
      <w:r w:rsidR="000963C9" w:rsidRPr="00115504">
        <w:t>s</w:t>
      </w:r>
      <w:r w:rsidR="00D6205A" w:rsidRPr="00115504">
        <w:t xml:space="preserve"> </w:t>
      </w:r>
      <w:r w:rsidR="00964959" w:rsidRPr="00115504">
        <w:t xml:space="preserve">Taxas de Juros do Crédito Rural (TCR) </w:t>
      </w:r>
      <w:r w:rsidR="00F65819" w:rsidRPr="00115504">
        <w:t>-</w:t>
      </w:r>
      <w:r w:rsidR="00763804" w:rsidRPr="00115504">
        <w:t xml:space="preserve"> </w:t>
      </w:r>
      <w:r w:rsidR="00745D46" w:rsidRPr="00115504">
        <w:t>4</w:t>
      </w:r>
    </w:p>
    <w:p w14:paraId="31468531" w14:textId="77777777" w:rsidR="00F22B6F" w:rsidRPr="00115504" w:rsidRDefault="00F22B6F" w:rsidP="00710DFC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115504">
        <w:t>_____________________________________________________________________________________________</w:t>
      </w:r>
    </w:p>
    <w:p w14:paraId="79707167" w14:textId="77777777" w:rsidR="00F22B6F" w:rsidRPr="00115504" w:rsidRDefault="00F22B6F" w:rsidP="00710DFC">
      <w:pPr>
        <w:tabs>
          <w:tab w:val="right" w:pos="9923"/>
          <w:tab w:val="right" w:pos="10064"/>
        </w:tabs>
        <w:jc w:val="both"/>
      </w:pPr>
    </w:p>
    <w:p w14:paraId="76D648E4" w14:textId="056CE579" w:rsidR="00F65819" w:rsidRPr="00115504" w:rsidRDefault="00D6205A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115504">
        <w:t xml:space="preserve">1 </w:t>
      </w:r>
      <w:r w:rsidR="000963C9" w:rsidRPr="00115504">
        <w:t>-</w:t>
      </w:r>
      <w:r w:rsidRPr="00115504">
        <w:t xml:space="preserve"> </w:t>
      </w:r>
      <w:r w:rsidR="00F65819" w:rsidRPr="00115504">
        <w:t>Esta Seção dispõe sobre a metodologia para definição das taxas de juros aplicáveis às operações de crédito rural realizadas com recursos controlados, com exceção das operações com recursos dos Fundos Constitucionais de Financiamento, denominadas: Taxas de Juros do Crédito Rural (TCR).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</w:p>
    <w:p w14:paraId="15B73909" w14:textId="3852EDC4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2 - </w:t>
      </w:r>
      <w:r w:rsidR="00CF04D0" w:rsidRPr="00246E01">
        <w:t>A apuração do saldo devedor das operações de crédito rural referidas no item 1, mediante a aplicação das TCR, deve observar o disposto na Seção 3 deste Capítulo, para fins de apuração dos respectivos saldos diários.</w:t>
      </w:r>
      <w:r w:rsidR="00A45A18" w:rsidRPr="00246E01">
        <w:t xml:space="preserve"> (Res CMN </w:t>
      </w:r>
      <w:r w:rsidR="00CF04D0" w:rsidRPr="00246E01">
        <w:t>5.065</w:t>
      </w:r>
      <w:r w:rsidR="00A45A18" w:rsidRPr="00246E01">
        <w:t xml:space="preserve"> </w:t>
      </w:r>
      <w:proofErr w:type="spellStart"/>
      <w:r w:rsidR="00A45A18" w:rsidRPr="00246E01">
        <w:t>art</w:t>
      </w:r>
      <w:proofErr w:type="spellEnd"/>
      <w:r w:rsidR="00A45A18" w:rsidRPr="00246E01">
        <w:t xml:space="preserve"> 1º)</w:t>
      </w:r>
    </w:p>
    <w:p w14:paraId="3113B875" w14:textId="442EE254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  <w:jc w:val="both"/>
      </w:pPr>
      <w:r w:rsidRPr="00115504">
        <w:t xml:space="preserve">3 - Ficam estabelecidas as seguintes metodologias de cálculo das TCR aplicáveis às operações de crédito rural com recursos controlados, à exceção das operações com recursos dos Fundos Constitucionais de Financiamento: </w:t>
      </w:r>
      <w:r w:rsidR="00A45A18" w:rsidRPr="00115504">
        <w:t xml:space="preserve">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</w:p>
    <w:bookmarkStart w:id="0" w:name="_MON_1591685970"/>
    <w:bookmarkEnd w:id="0"/>
    <w:p w14:paraId="5C981E18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object w:dxaOrig="4784" w:dyaOrig="264" w14:anchorId="264EA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1.7pt" o:ole="">
            <v:imagedata r:id="rId8" o:title=""/>
          </v:shape>
          <o:OLEObject Type="Embed" ProgID="Word.Document.12" ShapeID="_x0000_i1025" DrawAspect="Content" ObjectID="_1751091457" r:id="rId9">
            <o:FieldCodes>\s</o:FieldCodes>
          </o:OLEObject>
        </w:object>
      </w:r>
    </w:p>
    <w:bookmarkStart w:id="1" w:name="_MON_1591691773"/>
    <w:bookmarkEnd w:id="1"/>
    <w:p w14:paraId="52C76465" w14:textId="77777777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567" w:right="-1" w:hanging="283"/>
        <w:jc w:val="both"/>
      </w:pPr>
      <w:r w:rsidRPr="00115504">
        <w:object w:dxaOrig="5159" w:dyaOrig="289" w14:anchorId="32B1A471">
          <v:shape id="_x0000_i1026" type="#_x0000_t75" style="width:257.85pt;height:11.7pt" o:ole="">
            <v:imagedata r:id="rId10" o:title=""/>
          </v:shape>
          <o:OLEObject Type="Embed" ProgID="Word.Document.12" ShapeID="_x0000_i1026" DrawAspect="Content" ObjectID="_1751091458" r:id="rId11">
            <o:FieldCodes>\s</o:FieldCodes>
          </o:OLEObject>
        </w:object>
      </w:r>
    </w:p>
    <w:p w14:paraId="46636330" w14:textId="351FB50D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  <w:jc w:val="both"/>
      </w:pPr>
      <w:r w:rsidRPr="00115504">
        <w:t xml:space="preserve">4 - As siglas mencionadas nas metodologias de que trata esta Seção possuem as seguintes definições: </w:t>
      </w:r>
      <w:r w:rsidR="00A45A18" w:rsidRPr="00115504">
        <w:t xml:space="preserve">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</w:t>
      </w:r>
      <w:r w:rsidR="003B404E" w:rsidRPr="00115504">
        <w:t xml:space="preserve">; Res CMN 4.913 </w:t>
      </w:r>
      <w:proofErr w:type="spellStart"/>
      <w:r w:rsidR="003B404E" w:rsidRPr="00115504">
        <w:t>art</w:t>
      </w:r>
      <w:proofErr w:type="spellEnd"/>
      <w:r w:rsidR="003B404E" w:rsidRPr="00115504">
        <w:t xml:space="preserve"> 1º</w:t>
      </w:r>
      <w:r w:rsidR="00A45A18" w:rsidRPr="00115504">
        <w:t>)</w:t>
      </w:r>
    </w:p>
    <w:p w14:paraId="6DE102E0" w14:textId="7E488C38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a) </w:t>
      </w:r>
      <w:proofErr w:type="spellStart"/>
      <w:r w:rsidRPr="00115504">
        <w:t>TCR</w:t>
      </w:r>
      <w:r w:rsidRPr="00115504">
        <w:rPr>
          <w:vertAlign w:val="superscript"/>
        </w:rPr>
        <w:t>pós</w:t>
      </w:r>
      <w:proofErr w:type="spellEnd"/>
      <w:r w:rsidRPr="00115504">
        <w:t xml:space="preserve"> corresponde à Taxa de Juros do Crédito Rural pós-fixada;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6C382E6E" w14:textId="47C39B9C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b) </w:t>
      </w:r>
      <w:proofErr w:type="spellStart"/>
      <w:r w:rsidRPr="00115504">
        <w:t>TCR</w:t>
      </w:r>
      <w:r w:rsidRPr="00115504">
        <w:rPr>
          <w:vertAlign w:val="superscript"/>
        </w:rPr>
        <w:t>pré</w:t>
      </w:r>
      <w:proofErr w:type="spellEnd"/>
      <w:r w:rsidRPr="00115504">
        <w:t xml:space="preserve"> corresponde à Taxa de Juros do Crédito Rural prefixada;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425A10E5" w14:textId="3CC9F0B4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>c) FAM corresponde ao Fator de Atualização Monetária, apurado conforme metodologia definida nesta Seção;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1447006E" w14:textId="44490CD6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>d) FII corresponde ao Fator de Inflação Implícita, apurado conforme metodologia definida nesta Seção;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02E82A45" w14:textId="247311F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>e) FP corresponde ao Fator de Programa, a ser definido em resolução do Conselho Monetário Nacional (CMN);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1FAA5649" w14:textId="23B137B0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>f) FA corresponde ao Fator de Ajuste (FA), a ser definido em resolução do CMN;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64BCF15B" w14:textId="6C4F5A35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g) </w:t>
      </w:r>
      <w:proofErr w:type="spellStart"/>
      <w:r w:rsidR="003B404E" w:rsidRPr="00115504">
        <w:t>Jm</w:t>
      </w:r>
      <w:proofErr w:type="spellEnd"/>
      <w:r w:rsidR="003B404E" w:rsidRPr="00115504">
        <w:t xml:space="preserve"> corresponde à taxa de juros prefixada calculada e divulgada no mês de maio, conforme os </w:t>
      </w:r>
      <w:proofErr w:type="spellStart"/>
      <w:r w:rsidR="003B404E" w:rsidRPr="00115504">
        <w:t>arts</w:t>
      </w:r>
      <w:proofErr w:type="spellEnd"/>
      <w:r w:rsidR="003B404E" w:rsidRPr="00115504">
        <w:t>. 2º e 5º da Resolução nº 4.600, de 25 de setembro de 2017, e terá vigência de 1º de julho a 30 de junho do ano subsequente</w:t>
      </w:r>
      <w:r w:rsidRPr="00115504">
        <w:t>; e</w:t>
      </w:r>
      <w:r w:rsidR="003B404E" w:rsidRPr="00115504">
        <w:t xml:space="preserve"> (Res CMN 4.913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3F8421CD" w14:textId="2C862BA9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567" w:right="-1" w:hanging="283"/>
        <w:jc w:val="both"/>
      </w:pPr>
      <w:r w:rsidRPr="00115504">
        <w:t>h) DU corresponde ao número de dias úteis do mês de referência do cálculo em que incorrem encargos financeiros.</w:t>
      </w:r>
      <w:r w:rsidR="003B404E" w:rsidRPr="00115504">
        <w:t xml:space="preserve"> (Res CMN 4.883 </w:t>
      </w:r>
      <w:proofErr w:type="spellStart"/>
      <w:r w:rsidR="003B404E" w:rsidRPr="00115504">
        <w:t>art</w:t>
      </w:r>
      <w:proofErr w:type="spellEnd"/>
      <w:r w:rsidR="003B404E" w:rsidRPr="00115504">
        <w:t xml:space="preserve"> 1º)</w:t>
      </w:r>
    </w:p>
    <w:p w14:paraId="4B1184F9" w14:textId="3B3F7A6E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115504">
        <w:t xml:space="preserve">5 - Para as linhas de crédito rural com recursos controlados em que forem estabelecidas taxas de juros nas modalidades </w:t>
      </w:r>
      <w:proofErr w:type="spellStart"/>
      <w:r w:rsidRPr="00115504">
        <w:t>TCR</w:t>
      </w:r>
      <w:r w:rsidRPr="00115504">
        <w:rPr>
          <w:vertAlign w:val="superscript"/>
        </w:rPr>
        <w:t>pré</w:t>
      </w:r>
      <w:proofErr w:type="spellEnd"/>
      <w:r w:rsidRPr="00115504">
        <w:t xml:space="preserve"> e </w:t>
      </w:r>
      <w:proofErr w:type="spellStart"/>
      <w:r w:rsidRPr="00115504">
        <w:t>TCR</w:t>
      </w:r>
      <w:r w:rsidRPr="00115504">
        <w:rPr>
          <w:vertAlign w:val="superscript"/>
        </w:rPr>
        <w:t>pós</w:t>
      </w:r>
      <w:proofErr w:type="spellEnd"/>
      <w:r w:rsidRPr="00115504">
        <w:t>, cabe ao tomador, no ato da contratação, optar pela modalidade a ser utilizada.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  <w:r w:rsidRPr="00115504">
        <w:t xml:space="preserve"> </w:t>
      </w:r>
    </w:p>
    <w:p w14:paraId="7A271394" w14:textId="37B63102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115504">
        <w:t xml:space="preserve">6 - A </w:t>
      </w:r>
      <w:proofErr w:type="spellStart"/>
      <w:r w:rsidRPr="00115504">
        <w:t>TCR</w:t>
      </w:r>
      <w:r w:rsidRPr="00115504">
        <w:rPr>
          <w:vertAlign w:val="superscript"/>
        </w:rPr>
        <w:t>pós</w:t>
      </w:r>
      <w:proofErr w:type="spellEnd"/>
      <w:r w:rsidRPr="00115504">
        <w:t xml:space="preserve"> não se aplica às operações de crédito rural contratadas com recursos da poupança rural.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  <w:r w:rsidRPr="00115504">
        <w:t xml:space="preserve"> </w:t>
      </w:r>
    </w:p>
    <w:p w14:paraId="48270DC6" w14:textId="2F31B118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115504">
        <w:t>7 - O FAM será apurado levando em consideração cada dia útil de vigência da operação de crédito, utilizando como referência a variação acumulada, para o mesmo período, do Índice Nacional de Preços ao Consumidor Amplo (IPCA), apurado e divulgado pela Fundação Instituto Brasileiro de Geografia e Estatística (IBGE).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  <w:r w:rsidRPr="00115504">
        <w:t xml:space="preserve"> </w:t>
      </w:r>
    </w:p>
    <w:p w14:paraId="1D484C42" w14:textId="6FD73438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  <w:jc w:val="both"/>
      </w:pPr>
      <w:r w:rsidRPr="00115504">
        <w:t xml:space="preserve">8 - Para cálculo do FAM, será utilizada a seguinte fórmula: </w:t>
      </w:r>
    </w:p>
    <w:bookmarkStart w:id="2" w:name="_MON_1591692435"/>
    <w:bookmarkEnd w:id="2"/>
    <w:p w14:paraId="79A245F5" w14:textId="17E7E4FA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</w:pPr>
      <w:r w:rsidRPr="00115504">
        <w:object w:dxaOrig="3789" w:dyaOrig="421" w14:anchorId="63FE61AF">
          <v:shape id="_x0000_i1027" type="#_x0000_t75" style="width:192.55pt;height:24.55pt" o:ole="">
            <v:imagedata r:id="rId12" o:title=""/>
          </v:shape>
          <o:OLEObject Type="Embed" ProgID="Word.Document.12" ShapeID="_x0000_i1027" DrawAspect="Content" ObjectID="_1751091459" r:id="rId13">
            <o:FieldCodes>\s</o:FieldCodes>
          </o:OLEObject>
        </w:object>
      </w:r>
      <w:r w:rsidRPr="00115504">
        <w:t>, em que:</w:t>
      </w:r>
      <w:r w:rsidR="004562DD" w:rsidRPr="00115504">
        <w:t xml:space="preserve"> (Res CMN 4.883 </w:t>
      </w:r>
      <w:proofErr w:type="spellStart"/>
      <w:r w:rsidR="004562DD" w:rsidRPr="00115504">
        <w:t>art</w:t>
      </w:r>
      <w:proofErr w:type="spellEnd"/>
      <w:r w:rsidR="004562DD" w:rsidRPr="00115504">
        <w:t xml:space="preserve"> 1º)</w:t>
      </w:r>
    </w:p>
    <w:p w14:paraId="6162BADE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a) </w:t>
      </w:r>
      <w:proofErr w:type="spellStart"/>
      <w:r w:rsidRPr="00115504">
        <w:t>FAM</w:t>
      </w:r>
      <w:r w:rsidRPr="00115504">
        <w:rPr>
          <w:vertAlign w:val="subscript"/>
        </w:rPr>
        <w:t>m</w:t>
      </w:r>
      <w:proofErr w:type="spellEnd"/>
      <w:r w:rsidRPr="00115504">
        <w:t xml:space="preserve"> corresponde ao fator a ser aplicado durante o mês de referência “m”, expresso com 6 (seis) casas decimais e arredondamento matemático;</w:t>
      </w:r>
    </w:p>
    <w:p w14:paraId="23A7C206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>b) π</w:t>
      </w:r>
      <w:r w:rsidRPr="00115504">
        <w:rPr>
          <w:vertAlign w:val="subscript"/>
        </w:rPr>
        <w:t>m-1</w:t>
      </w:r>
      <w:r w:rsidRPr="00115504">
        <w:t xml:space="preserve"> corresponde à variação percentual do IPCA, apurado e divulgado pelo IBGE, referente ao primeiro mês anterior ao mês de referência “m”, expressa em forma unitária com 4 (quatro) casas decimais;</w:t>
      </w:r>
    </w:p>
    <w:p w14:paraId="75CB1ED1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>c) π</w:t>
      </w:r>
      <w:r w:rsidRPr="00115504">
        <w:rPr>
          <w:vertAlign w:val="subscript"/>
        </w:rPr>
        <w:t>m-2</w:t>
      </w:r>
      <w:r w:rsidRPr="00115504">
        <w:t xml:space="preserve"> corresponde à variação percentual do IPCA, apurado e divulgado pelo IBGE, referente ao segundo mês anterior ao mês de referência “m”, expressa em forma unitária com 4 (quatro) casas decimais;</w:t>
      </w:r>
    </w:p>
    <w:p w14:paraId="0C6A3270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d) </w:t>
      </w:r>
      <w:proofErr w:type="spellStart"/>
      <w:r w:rsidRPr="00115504">
        <w:t>ndu</w:t>
      </w:r>
      <w:r w:rsidRPr="00115504">
        <w:rPr>
          <w:vertAlign w:val="subscript"/>
        </w:rPr>
        <w:t>p</w:t>
      </w:r>
      <w:proofErr w:type="spellEnd"/>
      <w:r w:rsidRPr="00115504">
        <w:t xml:space="preserve"> corresponde ao número de dias úteis entre o dia 1º (inclusive) e o dia 15 (exclusive) do mês de referência “m”;</w:t>
      </w:r>
    </w:p>
    <w:p w14:paraId="611DA590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e) </w:t>
      </w:r>
      <w:proofErr w:type="spellStart"/>
      <w:r w:rsidRPr="00115504">
        <w:t>ndu</w:t>
      </w:r>
      <w:r w:rsidRPr="00115504">
        <w:rPr>
          <w:vertAlign w:val="subscript"/>
        </w:rPr>
        <w:t>s</w:t>
      </w:r>
      <w:proofErr w:type="spellEnd"/>
      <w:r w:rsidRPr="00115504">
        <w:t xml:space="preserve"> corresponde ao número de dias úteis entre o dia 15 (inclusive) e o último dia (inclusive) do mês de referência “m”;</w:t>
      </w:r>
    </w:p>
    <w:p w14:paraId="49656BF7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t xml:space="preserve">f) </w:t>
      </w:r>
      <w:proofErr w:type="spellStart"/>
      <w:r w:rsidRPr="00115504">
        <w:t>ndm</w:t>
      </w:r>
      <w:r w:rsidRPr="00115504">
        <w:rPr>
          <w:vertAlign w:val="subscript"/>
        </w:rPr>
        <w:t>p</w:t>
      </w:r>
      <w:proofErr w:type="spellEnd"/>
      <w:r w:rsidRPr="00115504">
        <w:t xml:space="preserve"> corresponde ao número total de dias úteis entre o dia 15 do primeiro mês anterior ao mês de referência “m” (inclusive) e o dia 15 do mês de referência “m” (exclusive); e</w:t>
      </w:r>
    </w:p>
    <w:p w14:paraId="52EBB6B9" w14:textId="77777777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567" w:right="-1" w:hanging="283"/>
        <w:jc w:val="both"/>
      </w:pPr>
      <w:r w:rsidRPr="00115504">
        <w:t xml:space="preserve">g) </w:t>
      </w:r>
      <w:proofErr w:type="spellStart"/>
      <w:r w:rsidRPr="00115504">
        <w:t>ndm</w:t>
      </w:r>
      <w:r w:rsidRPr="00115504">
        <w:rPr>
          <w:vertAlign w:val="subscript"/>
        </w:rPr>
        <w:t>s</w:t>
      </w:r>
      <w:proofErr w:type="spellEnd"/>
      <w:r w:rsidRPr="00115504">
        <w:t xml:space="preserve"> corresponde ao número total de dias úteis entre o dia 15 do mês de referência “m” (inclusive) e o dia 15 do primeiro mês posterior ao mês de referência “m” (exclusive).</w:t>
      </w:r>
    </w:p>
    <w:p w14:paraId="37CDC8CD" w14:textId="71D56FC7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  <w:jc w:val="both"/>
      </w:pPr>
      <w:r w:rsidRPr="00115504">
        <w:t>9 - Para fins de cálculo do FII, será aplicada a seguinte fórmula: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  <w:r w:rsidRPr="00115504">
        <w:t xml:space="preserve"> </w:t>
      </w:r>
    </w:p>
    <w:p w14:paraId="6C9D2208" w14:textId="77777777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  <w:jc w:val="both"/>
      </w:pPr>
      <w:r w:rsidRPr="00115504">
        <w:t xml:space="preserve">   </w:t>
      </w:r>
      <w:bookmarkStart w:id="3" w:name="_MON_1591700791"/>
      <w:bookmarkEnd w:id="3"/>
      <w:r w:rsidRPr="00115504">
        <w:object w:dxaOrig="2529" w:dyaOrig="275" w14:anchorId="30F66039">
          <v:shape id="_x0000_i1028" type="#_x0000_t75" style="width:125pt;height:12.3pt" o:ole="">
            <v:imagedata r:id="rId14" o:title=""/>
          </v:shape>
          <o:OLEObject Type="Embed" ProgID="Word.Document.12" ShapeID="_x0000_i1028" DrawAspect="Content" ObjectID="_1751091460" r:id="rId15">
            <o:FieldCodes>\s</o:FieldCodes>
          </o:OLEObject>
        </w:object>
      </w:r>
      <w:r w:rsidRPr="00115504">
        <w:t>, em que:</w:t>
      </w:r>
    </w:p>
    <w:p w14:paraId="632F8AA2" w14:textId="77777777" w:rsidR="00F65819" w:rsidRPr="00115504" w:rsidRDefault="00F65819" w:rsidP="00F65819">
      <w:pPr>
        <w:tabs>
          <w:tab w:val="right" w:pos="9923"/>
          <w:tab w:val="right" w:pos="10064"/>
        </w:tabs>
        <w:ind w:left="567" w:right="-1" w:hanging="283"/>
        <w:jc w:val="both"/>
      </w:pPr>
      <w:r w:rsidRPr="00115504">
        <w:lastRenderedPageBreak/>
        <w:t>a) PRE corresponde à média aritmética simples das taxas apuradas a cada dia útil, relativas aos vértices de 5 (cinco) anos da estrutura a termo da taxa de juros dos títulos prefixados do Tesouro Nacional, Letras do Tesouro Nacional (LTN) e Notas do Tesouro Nacional, Série F (NTN-F), dos meses de fevereiro, março e abril de cada ano, expressa em forma anual, considerando a convenção de 252 dias úteis; e</w:t>
      </w:r>
    </w:p>
    <w:p w14:paraId="31E66143" w14:textId="77777777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567" w:right="-1" w:hanging="283"/>
        <w:jc w:val="both"/>
      </w:pPr>
      <w:r w:rsidRPr="00115504">
        <w:t xml:space="preserve">b) </w:t>
      </w:r>
      <w:proofErr w:type="spellStart"/>
      <w:r w:rsidRPr="00115504">
        <w:t>Jm</w:t>
      </w:r>
      <w:proofErr w:type="spellEnd"/>
      <w:r w:rsidRPr="00115504">
        <w:t xml:space="preserve"> corresponde à taxa de juros, conforme alínea “g” do item 4.</w:t>
      </w:r>
    </w:p>
    <w:p w14:paraId="6E2E1D35" w14:textId="505FD4BA" w:rsidR="00F65819" w:rsidRPr="00246E01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10 - </w:t>
      </w:r>
      <w:r w:rsidR="00CF04D0" w:rsidRPr="00246E01">
        <w:t>Revogado</w:t>
      </w:r>
      <w:r w:rsidRPr="00246E01">
        <w:t>.</w:t>
      </w:r>
      <w:r w:rsidR="00A45A18" w:rsidRPr="00246E01">
        <w:t xml:space="preserve"> (Res CMN </w:t>
      </w:r>
      <w:r w:rsidR="00CF04D0" w:rsidRPr="00246E01">
        <w:t>5.065</w:t>
      </w:r>
      <w:r w:rsidR="00A45A18" w:rsidRPr="00246E01">
        <w:t xml:space="preserve"> </w:t>
      </w:r>
      <w:proofErr w:type="spellStart"/>
      <w:r w:rsidR="00A45A18" w:rsidRPr="00246E01">
        <w:t>art</w:t>
      </w:r>
      <w:proofErr w:type="spellEnd"/>
      <w:r w:rsidR="00A45A18" w:rsidRPr="00246E01">
        <w:t xml:space="preserve"> </w:t>
      </w:r>
      <w:r w:rsidR="00CF04D0" w:rsidRPr="00246E01">
        <w:t>3</w:t>
      </w:r>
      <w:r w:rsidR="00A45A18" w:rsidRPr="00246E01">
        <w:t>º)</w:t>
      </w:r>
    </w:p>
    <w:p w14:paraId="7A235A3C" w14:textId="0DFC9E0E" w:rsidR="00F65819" w:rsidRPr="00246E01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11 - </w:t>
      </w:r>
      <w:r w:rsidR="00CF04D0" w:rsidRPr="00246E01">
        <w:t xml:space="preserve">Revogado. (Res CMN 5.065 </w:t>
      </w:r>
      <w:proofErr w:type="spellStart"/>
      <w:r w:rsidR="00CF04D0" w:rsidRPr="00246E01">
        <w:t>art</w:t>
      </w:r>
      <w:proofErr w:type="spellEnd"/>
      <w:r w:rsidR="00CF04D0" w:rsidRPr="00246E01">
        <w:t xml:space="preserve"> 3º)</w:t>
      </w:r>
    </w:p>
    <w:p w14:paraId="3F139A75" w14:textId="5F2A6436" w:rsidR="00F65819" w:rsidRPr="00246E01" w:rsidRDefault="00F65819" w:rsidP="00CF04D0">
      <w:pPr>
        <w:tabs>
          <w:tab w:val="right" w:pos="9923"/>
          <w:tab w:val="right" w:pos="10064"/>
        </w:tabs>
        <w:spacing w:after="120"/>
        <w:ind w:left="284" w:hanging="284"/>
        <w:jc w:val="both"/>
      </w:pPr>
      <w:r w:rsidRPr="00246E01">
        <w:t xml:space="preserve">12 - </w:t>
      </w:r>
      <w:r w:rsidR="00CF04D0" w:rsidRPr="00246E01">
        <w:t xml:space="preserve">Revogado. (Res CMN 5.065 </w:t>
      </w:r>
      <w:proofErr w:type="spellStart"/>
      <w:r w:rsidR="00CF04D0" w:rsidRPr="00246E01">
        <w:t>art</w:t>
      </w:r>
      <w:proofErr w:type="spellEnd"/>
      <w:r w:rsidR="00CF04D0" w:rsidRPr="00246E01">
        <w:t xml:space="preserve"> 3º)</w:t>
      </w:r>
    </w:p>
    <w:p w14:paraId="6E1954A4" w14:textId="2437B8BB" w:rsidR="00F65819" w:rsidRPr="00246E01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13 - </w:t>
      </w:r>
      <w:r w:rsidR="00CF04D0" w:rsidRPr="00246E01">
        <w:t xml:space="preserve">Revogado. (Res CMN 5.065 </w:t>
      </w:r>
      <w:proofErr w:type="spellStart"/>
      <w:r w:rsidR="00CF04D0" w:rsidRPr="00246E01">
        <w:t>art</w:t>
      </w:r>
      <w:proofErr w:type="spellEnd"/>
      <w:r w:rsidR="00CF04D0" w:rsidRPr="00246E01">
        <w:t xml:space="preserve"> 3º)</w:t>
      </w:r>
    </w:p>
    <w:p w14:paraId="5CD1051F" w14:textId="5CC710FE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14 - </w:t>
      </w:r>
      <w:r w:rsidR="00CF04D0" w:rsidRPr="00246E01">
        <w:t xml:space="preserve">Revogado. (Res CMN 5.065 </w:t>
      </w:r>
      <w:proofErr w:type="spellStart"/>
      <w:r w:rsidR="00CF04D0" w:rsidRPr="00246E01">
        <w:t>art</w:t>
      </w:r>
      <w:proofErr w:type="spellEnd"/>
      <w:r w:rsidR="00CF04D0" w:rsidRPr="00246E01">
        <w:t xml:space="preserve"> 3º)</w:t>
      </w:r>
    </w:p>
    <w:p w14:paraId="59BE65AE" w14:textId="11892A45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115504">
        <w:t xml:space="preserve">15 - Os componentes FP, FA, </w:t>
      </w:r>
      <w:proofErr w:type="spellStart"/>
      <w:r w:rsidRPr="00115504">
        <w:t>Jm</w:t>
      </w:r>
      <w:proofErr w:type="spellEnd"/>
      <w:r w:rsidRPr="00115504">
        <w:t xml:space="preserve"> e FII, aplicados a cada contrato, serão mantidos constantes durante toda a vigência da operação de crédito rural.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1º)</w:t>
      </w:r>
      <w:r w:rsidRPr="00115504">
        <w:t xml:space="preserve"> </w:t>
      </w:r>
    </w:p>
    <w:p w14:paraId="784FA1DE" w14:textId="01B2896A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16 - </w:t>
      </w:r>
      <w:r w:rsidR="00CF04D0" w:rsidRPr="00246E01">
        <w:t>O Banco Central do Brasil deverá divulgar o FII no último dia útil do mês de abril de cada ano, para vigência de 1º de julho a 30 de junho do ano subsequente</w:t>
      </w:r>
      <w:r w:rsidRPr="00246E01">
        <w:t>.</w:t>
      </w:r>
      <w:r w:rsidR="00A45A18" w:rsidRPr="00246E01">
        <w:t xml:space="preserve"> (Res CMN </w:t>
      </w:r>
      <w:r w:rsidR="00CF04D0" w:rsidRPr="00246E01">
        <w:t>5.065</w:t>
      </w:r>
      <w:r w:rsidR="00A45A18" w:rsidRPr="00246E01">
        <w:t xml:space="preserve"> </w:t>
      </w:r>
      <w:proofErr w:type="spellStart"/>
      <w:r w:rsidR="00A45A18" w:rsidRPr="00246E01">
        <w:t>art</w:t>
      </w:r>
      <w:proofErr w:type="spellEnd"/>
      <w:r w:rsidR="00A45A18" w:rsidRPr="00246E01">
        <w:t xml:space="preserve"> 1º)</w:t>
      </w:r>
    </w:p>
    <w:p w14:paraId="2201C3CD" w14:textId="11FAABDB" w:rsidR="00F65819" w:rsidRPr="00115504" w:rsidRDefault="00F65819" w:rsidP="00F65819">
      <w:pPr>
        <w:tabs>
          <w:tab w:val="right" w:pos="9923"/>
          <w:tab w:val="right" w:pos="10064"/>
        </w:tabs>
        <w:spacing w:after="120"/>
        <w:ind w:left="284" w:right="-1" w:hanging="284"/>
        <w:jc w:val="both"/>
      </w:pPr>
      <w:r w:rsidRPr="00246E01">
        <w:t xml:space="preserve">17 - </w:t>
      </w:r>
      <w:r w:rsidR="00CF04D0" w:rsidRPr="00246E01">
        <w:t>Fica o Banco Central do Brasil autorizado a baixar as normas e a adotar as medidas julgadas necessárias à execução do disposto nesta Seção</w:t>
      </w:r>
      <w:r w:rsidRPr="00246E01">
        <w:t xml:space="preserve">. </w:t>
      </w:r>
      <w:r w:rsidR="00A45A18" w:rsidRPr="00246E01">
        <w:t xml:space="preserve">(Res CMN </w:t>
      </w:r>
      <w:r w:rsidR="00CF04D0" w:rsidRPr="00246E01">
        <w:t>5.065</w:t>
      </w:r>
      <w:r w:rsidR="00A45A18" w:rsidRPr="00246E01">
        <w:t xml:space="preserve"> </w:t>
      </w:r>
      <w:proofErr w:type="spellStart"/>
      <w:r w:rsidR="00A45A18" w:rsidRPr="00246E01">
        <w:t>art</w:t>
      </w:r>
      <w:proofErr w:type="spellEnd"/>
      <w:r w:rsidR="00A45A18" w:rsidRPr="00246E01">
        <w:t xml:space="preserve"> 1º)</w:t>
      </w:r>
    </w:p>
    <w:p w14:paraId="38C15695" w14:textId="781B54D1" w:rsidR="00F65819" w:rsidRPr="00115504" w:rsidRDefault="00F65819" w:rsidP="00F65819">
      <w:pPr>
        <w:tabs>
          <w:tab w:val="right" w:pos="9923"/>
          <w:tab w:val="right" w:pos="10064"/>
        </w:tabs>
        <w:ind w:left="284" w:right="-1" w:hanging="284"/>
        <w:jc w:val="both"/>
      </w:pPr>
      <w:r w:rsidRPr="00115504">
        <w:t>18 - Os Fatores de Programa aplicados na definição das taxas efetivas de juros de que trata esta Seção são os seguintes:</w:t>
      </w:r>
      <w:r w:rsidR="00A45A18" w:rsidRPr="00115504">
        <w:t xml:space="preserve"> (Res CMN 4.883 </w:t>
      </w:r>
      <w:proofErr w:type="spellStart"/>
      <w:r w:rsidR="00A45A18" w:rsidRPr="00115504">
        <w:t>art</w:t>
      </w:r>
      <w:proofErr w:type="spellEnd"/>
      <w:r w:rsidR="00A45A18" w:rsidRPr="00115504">
        <w:t xml:space="preserve"> 1º</w:t>
      </w:r>
      <w:r w:rsidR="003B404E" w:rsidRPr="00115504">
        <w:t xml:space="preserve">; </w:t>
      </w:r>
      <w:r w:rsidR="001F21F9" w:rsidRPr="00115504">
        <w:t>Res CMN 5.0</w:t>
      </w:r>
      <w:r w:rsidR="00A550DA">
        <w:t>82</w:t>
      </w:r>
      <w:r w:rsidR="001F21F9" w:rsidRPr="00115504">
        <w:t xml:space="preserve"> </w:t>
      </w:r>
      <w:proofErr w:type="spellStart"/>
      <w:r w:rsidR="001F21F9" w:rsidRPr="00115504">
        <w:t>art</w:t>
      </w:r>
      <w:proofErr w:type="spellEnd"/>
      <w:r w:rsidR="001F21F9" w:rsidRPr="00115504">
        <w:t xml:space="preserve"> 1º</w:t>
      </w:r>
      <w:r w:rsidR="00A45A18" w:rsidRPr="00115504">
        <w:t>)</w:t>
      </w:r>
      <w:r w:rsidRPr="00115504">
        <w:t xml:space="preserve"> </w:t>
      </w:r>
    </w:p>
    <w:p w14:paraId="5A9DE572" w14:textId="1C73C263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a) taxa efetiva de juros de 3,00% a.a.: -0,5587893;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7678250C" w14:textId="7E55CF3C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b) taxa efetiva de juros de 4,00% a.a.: -0,4004921;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7A322701" w14:textId="45E8780A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c) taxa efetiva de juros de 5,00% a.a.: -0,2421948;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710F560F" w14:textId="6DDC6EC2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d) taxa efetiva de juros de 6,00% a.a.: -0,0838975;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746571A9" w14:textId="01E08652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e) taxa efetiva de juros de 7,00% a.a.: 0,0743997;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72C6561B" w14:textId="62645E0A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f) taxa efetiva de juros de 8,00% a.a.: 0,2326970;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3DE2316F" w14:textId="73C02751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g) taxa efetiva de juros de 8,50% a.a.: 0,3118456;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298F5142" w14:textId="1E516DB3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h) taxa efetiva de juros de 10,50% a.a.: 0,6284401;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7A2D13F6" w14:textId="3E85C618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i) taxa efetiva de juros de 11,00% a.a.: 0,7075887;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2E63AD0B" w14:textId="2F920B37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j) taxa efetiva de juros de 11,50 a.a.: 0,7867373;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40F24F65" w14:textId="6941E32C" w:rsidR="00A550DA" w:rsidRPr="008524E6" w:rsidRDefault="00A550DA" w:rsidP="00A550DA">
      <w:pPr>
        <w:tabs>
          <w:tab w:val="right" w:pos="9923"/>
          <w:tab w:val="right" w:pos="10064"/>
        </w:tabs>
        <w:ind w:left="568" w:hanging="284"/>
        <w:jc w:val="both"/>
      </w:pPr>
      <w:r w:rsidRPr="008524E6">
        <w:t xml:space="preserve">k) taxa efetiva de juros de 12,00 a.a.:  0,8658860;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629F798F" w14:textId="3002BCF3" w:rsidR="00F65819" w:rsidRPr="00115504" w:rsidRDefault="00A550DA" w:rsidP="00A550DA">
      <w:pPr>
        <w:tabs>
          <w:tab w:val="right" w:pos="9923"/>
          <w:tab w:val="right" w:pos="10064"/>
        </w:tabs>
        <w:spacing w:after="120"/>
        <w:ind w:left="567" w:hanging="284"/>
        <w:jc w:val="both"/>
      </w:pPr>
      <w:r w:rsidRPr="008524E6">
        <w:t xml:space="preserve">l) taxa efetiva de juros de 12,50 a.a.:  0,9450346. (Res CMN 5.082 </w:t>
      </w:r>
      <w:proofErr w:type="spellStart"/>
      <w:r w:rsidRPr="008524E6">
        <w:t>art</w:t>
      </w:r>
      <w:proofErr w:type="spellEnd"/>
      <w:r w:rsidRPr="008524E6">
        <w:t xml:space="preserve"> 1º)</w:t>
      </w:r>
      <w:r w:rsidRPr="008524E6">
        <w:tab/>
        <w:t>(*)</w:t>
      </w:r>
    </w:p>
    <w:p w14:paraId="31D94D39" w14:textId="14ECE507" w:rsidR="00767FF4" w:rsidRDefault="00F65819" w:rsidP="00191CE4">
      <w:pPr>
        <w:pStyle w:val="TextosemFormatao"/>
        <w:tabs>
          <w:tab w:val="right" w:pos="9923"/>
          <w:tab w:val="right" w:pos="10064"/>
        </w:tabs>
        <w:spacing w:after="120"/>
        <w:ind w:left="284" w:hanging="284"/>
        <w:rPr>
          <w:rFonts w:ascii="Times New Roman" w:hAnsi="Times New Roman"/>
        </w:rPr>
      </w:pPr>
      <w:r w:rsidRPr="00115504">
        <w:rPr>
          <w:rFonts w:ascii="Times New Roman" w:hAnsi="Times New Roman"/>
        </w:rPr>
        <w:t>19 - Na ausência de resolução do CMN estabelecendo valor específico, o Fator de Ajuste aplicado na definição das taxas efetivas de juros de que trata esta Seção será 0 (zero) para todas as operações.</w:t>
      </w:r>
      <w:r w:rsidR="00A45A18" w:rsidRPr="00115504">
        <w:rPr>
          <w:rFonts w:ascii="Times New Roman" w:hAnsi="Times New Roman"/>
        </w:rPr>
        <w:t xml:space="preserve"> (Res CMN 4.883 </w:t>
      </w:r>
      <w:proofErr w:type="spellStart"/>
      <w:r w:rsidR="00A45A18" w:rsidRPr="00115504">
        <w:rPr>
          <w:rFonts w:ascii="Times New Roman" w:hAnsi="Times New Roman"/>
        </w:rPr>
        <w:t>art</w:t>
      </w:r>
      <w:proofErr w:type="spellEnd"/>
      <w:r w:rsidR="00A45A18" w:rsidRPr="00115504">
        <w:rPr>
          <w:rFonts w:ascii="Times New Roman" w:hAnsi="Times New Roman"/>
        </w:rPr>
        <w:t xml:space="preserve"> 1º)</w:t>
      </w:r>
    </w:p>
    <w:p w14:paraId="5598C68B" w14:textId="610596DD" w:rsidR="005C570A" w:rsidRPr="005C570A" w:rsidRDefault="005C570A" w:rsidP="005C570A"/>
    <w:sectPr w:rsidR="005C570A" w:rsidRPr="005C570A" w:rsidSect="00026AE3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A22F" w14:textId="77777777" w:rsidR="000735E5" w:rsidRDefault="000735E5">
      <w:r>
        <w:separator/>
      </w:r>
    </w:p>
  </w:endnote>
  <w:endnote w:type="continuationSeparator" w:id="0">
    <w:p w14:paraId="5CD970A5" w14:textId="77777777" w:rsidR="000735E5" w:rsidRDefault="000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BC3F" w14:textId="77777777" w:rsidR="0038005E" w:rsidRDefault="0038005E" w:rsidP="0038005E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</w:t>
    </w:r>
  </w:p>
  <w:p w14:paraId="7C6E5702" w14:textId="15437738" w:rsidR="00311680" w:rsidRPr="0038005E" w:rsidRDefault="00545C28" w:rsidP="00545C28">
    <w:pPr>
      <w:pStyle w:val="Rodap"/>
    </w:pPr>
    <w:r>
      <w:t>Atualização MCR nº 720, de 19 de julho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7B9C" w14:textId="77777777" w:rsidR="00DB7368" w:rsidRDefault="00DB7368" w:rsidP="00DB7368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</w:t>
    </w:r>
  </w:p>
  <w:p w14:paraId="589D72BC" w14:textId="1AA843DA" w:rsidR="00DB7368" w:rsidRDefault="00545C28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7C16" w14:textId="77777777" w:rsidR="000735E5" w:rsidRDefault="000735E5">
      <w:r>
        <w:separator/>
      </w:r>
    </w:p>
  </w:footnote>
  <w:footnote w:type="continuationSeparator" w:id="0">
    <w:p w14:paraId="6B81006D" w14:textId="77777777" w:rsidR="000735E5" w:rsidRDefault="0007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0FBE" w14:textId="77777777" w:rsidR="00DB7368" w:rsidRPr="00D6205A" w:rsidRDefault="00DB7368" w:rsidP="00DB736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 w:rsidRPr="00D6205A">
      <w:t>TÍTULO</w:t>
    </w:r>
    <w:r w:rsidRPr="00D6205A">
      <w:tab/>
      <w:t>: CRÉDITO RURAL</w:t>
    </w:r>
    <w:r w:rsidRPr="00D6205A">
      <w:tab/>
    </w:r>
    <w:r w:rsidRPr="00D6205A">
      <w:fldChar w:fldCharType="begin"/>
    </w:r>
    <w:r w:rsidRPr="00D6205A">
      <w:instrText xml:space="preserve"> PAGE  \* MERGEFORMAT </w:instrText>
    </w:r>
    <w:r w:rsidRPr="00D6205A">
      <w:fldChar w:fldCharType="separate"/>
    </w:r>
    <w:r w:rsidR="00600216">
      <w:rPr>
        <w:noProof/>
      </w:rPr>
      <w:t>2</w:t>
    </w:r>
    <w:r w:rsidRPr="00D6205A">
      <w:fldChar w:fldCharType="end"/>
    </w:r>
  </w:p>
  <w:p w14:paraId="23CFAE0A" w14:textId="77777777" w:rsidR="00DB7368" w:rsidRPr="00D6205A" w:rsidRDefault="00DB7368" w:rsidP="00DB736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 w:rsidRPr="00D6205A">
      <w:t>CAPÍTULO</w:t>
    </w:r>
    <w:r w:rsidRPr="00D6205A">
      <w:tab/>
      <w:t>: Condições Básicas - 2</w:t>
    </w:r>
  </w:p>
  <w:p w14:paraId="71546A14" w14:textId="6D199ADE" w:rsidR="00DB7368" w:rsidRPr="00D6205A" w:rsidRDefault="00DB7368" w:rsidP="00DB7368">
    <w:pPr>
      <w:pStyle w:val="Cabealho"/>
      <w:tabs>
        <w:tab w:val="clear" w:pos="4419"/>
        <w:tab w:val="clear" w:pos="8838"/>
        <w:tab w:val="left" w:pos="993"/>
        <w:tab w:val="right" w:pos="9923"/>
      </w:tabs>
    </w:pPr>
    <w:r w:rsidRPr="00D6205A">
      <w:t>SEÇÃO</w:t>
    </w:r>
    <w:r w:rsidRPr="00D6205A">
      <w:tab/>
      <w:t xml:space="preserve">: </w:t>
    </w:r>
    <w:r w:rsidR="00EB6F64" w:rsidRPr="00EB6F64">
      <w:t>Metodologia de cálculo das Taxas de Juros do Crédito</w:t>
    </w:r>
    <w:r w:rsidR="00745D46">
      <w:t xml:space="preserve"> Rural (TCR) - 4</w:t>
    </w:r>
  </w:p>
  <w:p w14:paraId="4E768729" w14:textId="77777777" w:rsidR="00DB7368" w:rsidRPr="00D6205A" w:rsidRDefault="00DB7368" w:rsidP="00DB736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 w:rsidRPr="00D6205A">
      <w:t>_____________________________________________________________________________________________</w:t>
    </w:r>
  </w:p>
  <w:p w14:paraId="342C2083" w14:textId="77777777" w:rsidR="00DB7368" w:rsidRDefault="00DB73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DDE"/>
    <w:multiLevelType w:val="hybridMultilevel"/>
    <w:tmpl w:val="6F62848C"/>
    <w:lvl w:ilvl="0" w:tplc="EADEFBE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3F850590"/>
    <w:multiLevelType w:val="hybridMultilevel"/>
    <w:tmpl w:val="529A3698"/>
    <w:lvl w:ilvl="0" w:tplc="5A88A0B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1325351867">
    <w:abstractNumId w:val="1"/>
  </w:num>
  <w:num w:numId="2" w16cid:durableId="974330582">
    <w:abstractNumId w:val="2"/>
  </w:num>
  <w:num w:numId="3" w16cid:durableId="74252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oNotTrackMoves/>
  <w:defaultTabStop w:val="720"/>
  <w:consecutiveHyphenLimit w:val="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5E4"/>
    <w:rsid w:val="00001A38"/>
    <w:rsid w:val="00015EB8"/>
    <w:rsid w:val="00026AE3"/>
    <w:rsid w:val="00031D53"/>
    <w:rsid w:val="000460FF"/>
    <w:rsid w:val="000705FB"/>
    <w:rsid w:val="000735E5"/>
    <w:rsid w:val="00095EBC"/>
    <w:rsid w:val="000963C9"/>
    <w:rsid w:val="000A53E1"/>
    <w:rsid w:val="000A7F76"/>
    <w:rsid w:val="000B639D"/>
    <w:rsid w:val="000C176E"/>
    <w:rsid w:val="000C2F4F"/>
    <w:rsid w:val="000D17D2"/>
    <w:rsid w:val="000D43CB"/>
    <w:rsid w:val="000D7538"/>
    <w:rsid w:val="000E4955"/>
    <w:rsid w:val="000E54EB"/>
    <w:rsid w:val="001003EA"/>
    <w:rsid w:val="0010139C"/>
    <w:rsid w:val="00103914"/>
    <w:rsid w:val="00105D74"/>
    <w:rsid w:val="00115504"/>
    <w:rsid w:val="00125C1A"/>
    <w:rsid w:val="0013037B"/>
    <w:rsid w:val="00136D21"/>
    <w:rsid w:val="0015345D"/>
    <w:rsid w:val="00157E15"/>
    <w:rsid w:val="00160AD1"/>
    <w:rsid w:val="00165EFD"/>
    <w:rsid w:val="00190CC7"/>
    <w:rsid w:val="00191CE4"/>
    <w:rsid w:val="001922F1"/>
    <w:rsid w:val="00194F7D"/>
    <w:rsid w:val="00195D8A"/>
    <w:rsid w:val="001A090D"/>
    <w:rsid w:val="001B01E3"/>
    <w:rsid w:val="001B3701"/>
    <w:rsid w:val="001B5B03"/>
    <w:rsid w:val="001B6398"/>
    <w:rsid w:val="001B6F0E"/>
    <w:rsid w:val="001C0906"/>
    <w:rsid w:val="001C6C09"/>
    <w:rsid w:val="001D3D0B"/>
    <w:rsid w:val="001F0A28"/>
    <w:rsid w:val="001F21F9"/>
    <w:rsid w:val="001F739D"/>
    <w:rsid w:val="002002F0"/>
    <w:rsid w:val="00215FB4"/>
    <w:rsid w:val="00216822"/>
    <w:rsid w:val="0023611F"/>
    <w:rsid w:val="00236B63"/>
    <w:rsid w:val="00246E01"/>
    <w:rsid w:val="00247285"/>
    <w:rsid w:val="00250B67"/>
    <w:rsid w:val="00250FD4"/>
    <w:rsid w:val="00277440"/>
    <w:rsid w:val="00283695"/>
    <w:rsid w:val="002917F8"/>
    <w:rsid w:val="002A7D9F"/>
    <w:rsid w:val="002B0ABC"/>
    <w:rsid w:val="002B0F2E"/>
    <w:rsid w:val="002B531F"/>
    <w:rsid w:val="002D4942"/>
    <w:rsid w:val="002D5301"/>
    <w:rsid w:val="002D705F"/>
    <w:rsid w:val="002D7852"/>
    <w:rsid w:val="002F12E2"/>
    <w:rsid w:val="00303930"/>
    <w:rsid w:val="00311680"/>
    <w:rsid w:val="00321918"/>
    <w:rsid w:val="0032499F"/>
    <w:rsid w:val="00343926"/>
    <w:rsid w:val="003526D3"/>
    <w:rsid w:val="0035720B"/>
    <w:rsid w:val="0035739B"/>
    <w:rsid w:val="00365A1D"/>
    <w:rsid w:val="00365D85"/>
    <w:rsid w:val="0037052D"/>
    <w:rsid w:val="003731AD"/>
    <w:rsid w:val="0038005E"/>
    <w:rsid w:val="00382066"/>
    <w:rsid w:val="003839F4"/>
    <w:rsid w:val="00383A44"/>
    <w:rsid w:val="0038637E"/>
    <w:rsid w:val="00393BAA"/>
    <w:rsid w:val="00397754"/>
    <w:rsid w:val="003A24B1"/>
    <w:rsid w:val="003A7899"/>
    <w:rsid w:val="003A78B9"/>
    <w:rsid w:val="003B27DA"/>
    <w:rsid w:val="003B404E"/>
    <w:rsid w:val="003B79E9"/>
    <w:rsid w:val="003C1084"/>
    <w:rsid w:val="003C44E2"/>
    <w:rsid w:val="003D131E"/>
    <w:rsid w:val="003F615F"/>
    <w:rsid w:val="003F6733"/>
    <w:rsid w:val="0041373F"/>
    <w:rsid w:val="0042333C"/>
    <w:rsid w:val="00433742"/>
    <w:rsid w:val="00446158"/>
    <w:rsid w:val="004562DD"/>
    <w:rsid w:val="00456A66"/>
    <w:rsid w:val="004604CD"/>
    <w:rsid w:val="00461571"/>
    <w:rsid w:val="0046735F"/>
    <w:rsid w:val="00470179"/>
    <w:rsid w:val="00476866"/>
    <w:rsid w:val="004769EF"/>
    <w:rsid w:val="00481956"/>
    <w:rsid w:val="004823FE"/>
    <w:rsid w:val="00483F0C"/>
    <w:rsid w:val="00484415"/>
    <w:rsid w:val="0048666A"/>
    <w:rsid w:val="0049155B"/>
    <w:rsid w:val="0049254A"/>
    <w:rsid w:val="004D0E70"/>
    <w:rsid w:val="004F1019"/>
    <w:rsid w:val="004F4D2A"/>
    <w:rsid w:val="00501481"/>
    <w:rsid w:val="00504390"/>
    <w:rsid w:val="00506A05"/>
    <w:rsid w:val="00507894"/>
    <w:rsid w:val="0051006A"/>
    <w:rsid w:val="0051095A"/>
    <w:rsid w:val="0051228E"/>
    <w:rsid w:val="00545C28"/>
    <w:rsid w:val="005740B9"/>
    <w:rsid w:val="005750BF"/>
    <w:rsid w:val="005866F9"/>
    <w:rsid w:val="005A3973"/>
    <w:rsid w:val="005A3E50"/>
    <w:rsid w:val="005A5797"/>
    <w:rsid w:val="005C0A23"/>
    <w:rsid w:val="005C570A"/>
    <w:rsid w:val="005D014D"/>
    <w:rsid w:val="005D30A5"/>
    <w:rsid w:val="005D7E21"/>
    <w:rsid w:val="005E2F31"/>
    <w:rsid w:val="00600216"/>
    <w:rsid w:val="006022AB"/>
    <w:rsid w:val="00606056"/>
    <w:rsid w:val="00617006"/>
    <w:rsid w:val="00620110"/>
    <w:rsid w:val="0063334A"/>
    <w:rsid w:val="00652120"/>
    <w:rsid w:val="006607F7"/>
    <w:rsid w:val="00664A90"/>
    <w:rsid w:val="00664D3E"/>
    <w:rsid w:val="006711B8"/>
    <w:rsid w:val="0067510D"/>
    <w:rsid w:val="006753B4"/>
    <w:rsid w:val="00681671"/>
    <w:rsid w:val="00682138"/>
    <w:rsid w:val="006833EC"/>
    <w:rsid w:val="00686EF7"/>
    <w:rsid w:val="00695670"/>
    <w:rsid w:val="006A5155"/>
    <w:rsid w:val="006C73E6"/>
    <w:rsid w:val="006D03CC"/>
    <w:rsid w:val="006D0870"/>
    <w:rsid w:val="006E17CB"/>
    <w:rsid w:val="006E4B2C"/>
    <w:rsid w:val="006E66B0"/>
    <w:rsid w:val="006F3CF5"/>
    <w:rsid w:val="006F41BC"/>
    <w:rsid w:val="006F50EE"/>
    <w:rsid w:val="00701745"/>
    <w:rsid w:val="00710DFC"/>
    <w:rsid w:val="00714604"/>
    <w:rsid w:val="00717500"/>
    <w:rsid w:val="007331DA"/>
    <w:rsid w:val="00736529"/>
    <w:rsid w:val="007368E6"/>
    <w:rsid w:val="00745D46"/>
    <w:rsid w:val="00746D7A"/>
    <w:rsid w:val="0075347B"/>
    <w:rsid w:val="007535F8"/>
    <w:rsid w:val="00754744"/>
    <w:rsid w:val="00763804"/>
    <w:rsid w:val="0076567B"/>
    <w:rsid w:val="007666A1"/>
    <w:rsid w:val="00767FF4"/>
    <w:rsid w:val="007711C3"/>
    <w:rsid w:val="0077157C"/>
    <w:rsid w:val="00773999"/>
    <w:rsid w:val="00795F59"/>
    <w:rsid w:val="00797690"/>
    <w:rsid w:val="007A2FF6"/>
    <w:rsid w:val="007A53C9"/>
    <w:rsid w:val="007B4276"/>
    <w:rsid w:val="007E7294"/>
    <w:rsid w:val="007F055D"/>
    <w:rsid w:val="007F2E16"/>
    <w:rsid w:val="007F3D76"/>
    <w:rsid w:val="007F5DEB"/>
    <w:rsid w:val="0080291C"/>
    <w:rsid w:val="00806009"/>
    <w:rsid w:val="00811373"/>
    <w:rsid w:val="00832B07"/>
    <w:rsid w:val="00832E73"/>
    <w:rsid w:val="00844267"/>
    <w:rsid w:val="00847D4E"/>
    <w:rsid w:val="008524E6"/>
    <w:rsid w:val="00862058"/>
    <w:rsid w:val="00866712"/>
    <w:rsid w:val="008678D4"/>
    <w:rsid w:val="00876259"/>
    <w:rsid w:val="008921F4"/>
    <w:rsid w:val="0089532A"/>
    <w:rsid w:val="008B321D"/>
    <w:rsid w:val="008C101C"/>
    <w:rsid w:val="008C20F8"/>
    <w:rsid w:val="008D101F"/>
    <w:rsid w:val="008D56CA"/>
    <w:rsid w:val="008D6F75"/>
    <w:rsid w:val="008E5CDC"/>
    <w:rsid w:val="00903054"/>
    <w:rsid w:val="00911476"/>
    <w:rsid w:val="00913B64"/>
    <w:rsid w:val="009173B3"/>
    <w:rsid w:val="00942574"/>
    <w:rsid w:val="00943DB5"/>
    <w:rsid w:val="009445E4"/>
    <w:rsid w:val="0094539B"/>
    <w:rsid w:val="00945DDD"/>
    <w:rsid w:val="0094777A"/>
    <w:rsid w:val="009628FF"/>
    <w:rsid w:val="009636EE"/>
    <w:rsid w:val="00963E0A"/>
    <w:rsid w:val="00964959"/>
    <w:rsid w:val="00983217"/>
    <w:rsid w:val="00986768"/>
    <w:rsid w:val="00997256"/>
    <w:rsid w:val="009B0979"/>
    <w:rsid w:val="009B38C2"/>
    <w:rsid w:val="009C001C"/>
    <w:rsid w:val="009C18D4"/>
    <w:rsid w:val="009D145D"/>
    <w:rsid w:val="009D407D"/>
    <w:rsid w:val="009E3046"/>
    <w:rsid w:val="009F4873"/>
    <w:rsid w:val="009F75DF"/>
    <w:rsid w:val="00A00BE2"/>
    <w:rsid w:val="00A0638A"/>
    <w:rsid w:val="00A07D00"/>
    <w:rsid w:val="00A1038E"/>
    <w:rsid w:val="00A1170F"/>
    <w:rsid w:val="00A2274F"/>
    <w:rsid w:val="00A3435F"/>
    <w:rsid w:val="00A434DB"/>
    <w:rsid w:val="00A45135"/>
    <w:rsid w:val="00A45A18"/>
    <w:rsid w:val="00A53B3A"/>
    <w:rsid w:val="00A550DA"/>
    <w:rsid w:val="00A61573"/>
    <w:rsid w:val="00A63758"/>
    <w:rsid w:val="00A63B48"/>
    <w:rsid w:val="00A7027E"/>
    <w:rsid w:val="00A8062D"/>
    <w:rsid w:val="00A83E20"/>
    <w:rsid w:val="00A83EBF"/>
    <w:rsid w:val="00A91F46"/>
    <w:rsid w:val="00A967A1"/>
    <w:rsid w:val="00AA42EA"/>
    <w:rsid w:val="00AA4DE0"/>
    <w:rsid w:val="00AA69AF"/>
    <w:rsid w:val="00AB58F1"/>
    <w:rsid w:val="00AC1275"/>
    <w:rsid w:val="00AC2B54"/>
    <w:rsid w:val="00AD0E71"/>
    <w:rsid w:val="00AD384B"/>
    <w:rsid w:val="00AD439B"/>
    <w:rsid w:val="00AE6A11"/>
    <w:rsid w:val="00AE71EC"/>
    <w:rsid w:val="00AF0EAF"/>
    <w:rsid w:val="00AF7B7B"/>
    <w:rsid w:val="00B00449"/>
    <w:rsid w:val="00B05D65"/>
    <w:rsid w:val="00B218A1"/>
    <w:rsid w:val="00B45DF1"/>
    <w:rsid w:val="00B45F08"/>
    <w:rsid w:val="00B513BF"/>
    <w:rsid w:val="00B55E3B"/>
    <w:rsid w:val="00B640A7"/>
    <w:rsid w:val="00B64EA6"/>
    <w:rsid w:val="00B67FBC"/>
    <w:rsid w:val="00B70845"/>
    <w:rsid w:val="00B76427"/>
    <w:rsid w:val="00B8091D"/>
    <w:rsid w:val="00B92450"/>
    <w:rsid w:val="00BB1E21"/>
    <w:rsid w:val="00BB6726"/>
    <w:rsid w:val="00BD57A0"/>
    <w:rsid w:val="00BE5897"/>
    <w:rsid w:val="00C05100"/>
    <w:rsid w:val="00C1057D"/>
    <w:rsid w:val="00C10AB3"/>
    <w:rsid w:val="00C118BD"/>
    <w:rsid w:val="00C1386B"/>
    <w:rsid w:val="00C33303"/>
    <w:rsid w:val="00C60CC3"/>
    <w:rsid w:val="00C613F3"/>
    <w:rsid w:val="00C6373A"/>
    <w:rsid w:val="00C673CC"/>
    <w:rsid w:val="00C71114"/>
    <w:rsid w:val="00C76539"/>
    <w:rsid w:val="00C95BE7"/>
    <w:rsid w:val="00C97FF3"/>
    <w:rsid w:val="00CB01EE"/>
    <w:rsid w:val="00CC5C85"/>
    <w:rsid w:val="00CD7FCD"/>
    <w:rsid w:val="00CE0D47"/>
    <w:rsid w:val="00CE4EF7"/>
    <w:rsid w:val="00CF04D0"/>
    <w:rsid w:val="00CF1E37"/>
    <w:rsid w:val="00D06D71"/>
    <w:rsid w:val="00D208B6"/>
    <w:rsid w:val="00D21FEA"/>
    <w:rsid w:val="00D25856"/>
    <w:rsid w:val="00D42862"/>
    <w:rsid w:val="00D45AAF"/>
    <w:rsid w:val="00D5213E"/>
    <w:rsid w:val="00D61591"/>
    <w:rsid w:val="00D6205A"/>
    <w:rsid w:val="00D808CF"/>
    <w:rsid w:val="00D9269B"/>
    <w:rsid w:val="00D97A9D"/>
    <w:rsid w:val="00DB126E"/>
    <w:rsid w:val="00DB1A2E"/>
    <w:rsid w:val="00DB7368"/>
    <w:rsid w:val="00DC3C26"/>
    <w:rsid w:val="00DC6FE0"/>
    <w:rsid w:val="00DE22A4"/>
    <w:rsid w:val="00E13A5F"/>
    <w:rsid w:val="00E2417A"/>
    <w:rsid w:val="00E245E6"/>
    <w:rsid w:val="00E34B50"/>
    <w:rsid w:val="00E42EAE"/>
    <w:rsid w:val="00E45574"/>
    <w:rsid w:val="00E46AE2"/>
    <w:rsid w:val="00E60B90"/>
    <w:rsid w:val="00E771EB"/>
    <w:rsid w:val="00E86228"/>
    <w:rsid w:val="00E9225F"/>
    <w:rsid w:val="00E9372E"/>
    <w:rsid w:val="00E95F04"/>
    <w:rsid w:val="00EA0471"/>
    <w:rsid w:val="00EB3AF9"/>
    <w:rsid w:val="00EB6F64"/>
    <w:rsid w:val="00EC5C7E"/>
    <w:rsid w:val="00EC75E1"/>
    <w:rsid w:val="00ED01F3"/>
    <w:rsid w:val="00ED377A"/>
    <w:rsid w:val="00EE250F"/>
    <w:rsid w:val="00EF4B74"/>
    <w:rsid w:val="00F10CC1"/>
    <w:rsid w:val="00F208FC"/>
    <w:rsid w:val="00F22B6F"/>
    <w:rsid w:val="00F23B7A"/>
    <w:rsid w:val="00F31AED"/>
    <w:rsid w:val="00F328E4"/>
    <w:rsid w:val="00F53A93"/>
    <w:rsid w:val="00F55CAB"/>
    <w:rsid w:val="00F56AAC"/>
    <w:rsid w:val="00F65819"/>
    <w:rsid w:val="00F70124"/>
    <w:rsid w:val="00F82DB2"/>
    <w:rsid w:val="00F8338B"/>
    <w:rsid w:val="00F86348"/>
    <w:rsid w:val="00F92A3B"/>
    <w:rsid w:val="00F92C6D"/>
    <w:rsid w:val="00F943AD"/>
    <w:rsid w:val="00FA6CE3"/>
    <w:rsid w:val="00FC2039"/>
    <w:rsid w:val="00FC2E7A"/>
    <w:rsid w:val="00FC4023"/>
    <w:rsid w:val="00FD0ABB"/>
    <w:rsid w:val="00FD3CD9"/>
    <w:rsid w:val="00FD7391"/>
    <w:rsid w:val="00FE1520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08E32320"/>
  <w15:chartTrackingRefBased/>
  <w15:docId w15:val="{3163896E-FDC8-4059-8F72-8842D55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styleId="Corpodetexto2">
    <w:name w:val="Body Text 2"/>
    <w:basedOn w:val="Normal"/>
    <w:semiHidden/>
    <w:pPr>
      <w:tabs>
        <w:tab w:val="left" w:pos="1418"/>
      </w:tabs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E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B64EA6"/>
  </w:style>
  <w:style w:type="paragraph" w:customStyle="1" w:styleId="Paragrafo">
    <w:name w:val="Paragrafo"/>
    <w:basedOn w:val="Normal"/>
    <w:link w:val="ParagrafoChar"/>
    <w:qFormat/>
    <w:rsid w:val="00F65819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link w:val="Paragrafo"/>
    <w:rsid w:val="00F6581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41E1-628F-4AE8-B13B-A58C7012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793</TotalTime>
  <Pages>2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168</cp:revision>
  <cp:lastPrinted>2018-06-28T18:34:00Z</cp:lastPrinted>
  <dcterms:created xsi:type="dcterms:W3CDTF">2014-07-23T14:26:00Z</dcterms:created>
  <dcterms:modified xsi:type="dcterms:W3CDTF">2023-07-17T12:31:00Z</dcterms:modified>
</cp:coreProperties>
</file>