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1EA1" w14:textId="77777777" w:rsidR="005B64E9" w:rsidRPr="0051135D" w:rsidRDefault="005B64E9" w:rsidP="005B64E9">
      <w:pPr>
        <w:pStyle w:val="Cabealho"/>
        <w:framePr w:wrap="around" w:vAnchor="text" w:hAnchor="margin" w:xAlign="right" w:y="1"/>
        <w:rPr>
          <w:rStyle w:val="Nmerodepgina"/>
        </w:rPr>
      </w:pPr>
      <w:r w:rsidRPr="0051135D">
        <w:rPr>
          <w:rStyle w:val="Nmerodepgina"/>
        </w:rPr>
        <w:fldChar w:fldCharType="begin"/>
      </w:r>
      <w:r w:rsidRPr="0051135D">
        <w:rPr>
          <w:rStyle w:val="Nmerodepgina"/>
        </w:rPr>
        <w:instrText xml:space="preserve">PAGE  </w:instrText>
      </w:r>
      <w:r w:rsidRPr="0051135D">
        <w:rPr>
          <w:rStyle w:val="Nmerodepgina"/>
        </w:rPr>
        <w:fldChar w:fldCharType="separate"/>
      </w:r>
      <w:r w:rsidR="00BE1B5E" w:rsidRPr="0051135D">
        <w:rPr>
          <w:rStyle w:val="Nmerodepgina"/>
          <w:noProof/>
        </w:rPr>
        <w:t>1</w:t>
      </w:r>
      <w:r w:rsidRPr="0051135D">
        <w:rPr>
          <w:rStyle w:val="Nmerodepgina"/>
        </w:rPr>
        <w:fldChar w:fldCharType="end"/>
      </w:r>
    </w:p>
    <w:p w14:paraId="3021D1A5" w14:textId="77777777" w:rsidR="005B64E9" w:rsidRPr="0051135D" w:rsidRDefault="005B64E9" w:rsidP="005B64E9">
      <w:pPr>
        <w:pStyle w:val="Cabealho"/>
        <w:tabs>
          <w:tab w:val="clear" w:pos="4419"/>
          <w:tab w:val="clear" w:pos="8838"/>
          <w:tab w:val="left" w:pos="993"/>
          <w:tab w:val="right" w:pos="9639"/>
        </w:tabs>
        <w:ind w:right="360"/>
      </w:pPr>
      <w:r w:rsidRPr="0051135D">
        <w:t>TÍTULO</w:t>
      </w:r>
      <w:r w:rsidRPr="0051135D">
        <w:tab/>
        <w:t>: CRÉDITO RURAL</w:t>
      </w:r>
    </w:p>
    <w:p w14:paraId="1C74618A" w14:textId="77777777" w:rsidR="005B64E9" w:rsidRPr="0051135D" w:rsidRDefault="005B64E9" w:rsidP="005B64E9">
      <w:pPr>
        <w:pStyle w:val="Cabealho"/>
        <w:tabs>
          <w:tab w:val="clear" w:pos="4419"/>
          <w:tab w:val="clear" w:pos="8838"/>
          <w:tab w:val="left" w:pos="993"/>
          <w:tab w:val="right" w:pos="9639"/>
        </w:tabs>
      </w:pPr>
      <w:r w:rsidRPr="0051135D">
        <w:t>CAPÍTULO</w:t>
      </w:r>
      <w:r w:rsidRPr="0051135D">
        <w:tab/>
        <w:t>: Recursos - 6</w:t>
      </w:r>
    </w:p>
    <w:p w14:paraId="37CEA042" w14:textId="532F134D" w:rsidR="005B64E9" w:rsidRPr="0051135D" w:rsidRDefault="005B64E9" w:rsidP="005B64E9">
      <w:pPr>
        <w:pStyle w:val="Cabealho"/>
        <w:tabs>
          <w:tab w:val="clear" w:pos="4419"/>
          <w:tab w:val="clear" w:pos="8838"/>
          <w:tab w:val="left" w:pos="993"/>
          <w:tab w:val="right" w:pos="9923"/>
          <w:tab w:val="right" w:pos="10064"/>
        </w:tabs>
      </w:pPr>
      <w:r w:rsidRPr="0051135D">
        <w:t>SEÇÃO</w:t>
      </w:r>
      <w:r w:rsidRPr="0051135D">
        <w:tab/>
        <w:t xml:space="preserve">: </w:t>
      </w:r>
      <w:r w:rsidR="00F56FDF" w:rsidRPr="0051135D">
        <w:t>Cálculo e Cobrança de Custo Financeiro por Deficiência no Cumprimento das Exigibilidades</w:t>
      </w:r>
      <w:r w:rsidRPr="0051135D">
        <w:t xml:space="preserve"> </w:t>
      </w:r>
      <w:r w:rsidR="00643B95" w:rsidRPr="0051135D">
        <w:t>-</w:t>
      </w:r>
      <w:r w:rsidRPr="0051135D">
        <w:t xml:space="preserve"> </w:t>
      </w:r>
      <w:r w:rsidR="00F56FDF" w:rsidRPr="0051135D">
        <w:t>5</w:t>
      </w:r>
    </w:p>
    <w:p w14:paraId="0CE6D581" w14:textId="77777777" w:rsidR="005B64E9" w:rsidRPr="0051135D" w:rsidRDefault="005B64E9" w:rsidP="005B64E9">
      <w:pPr>
        <w:pStyle w:val="Cabealho"/>
      </w:pPr>
      <w:r w:rsidRPr="0051135D">
        <w:t>_____________________________________________________________________________________________</w:t>
      </w:r>
    </w:p>
    <w:p w14:paraId="0E995AF5" w14:textId="77777777" w:rsidR="005B64E9" w:rsidRPr="0051135D" w:rsidRDefault="005B64E9" w:rsidP="005B64E9">
      <w:pPr>
        <w:tabs>
          <w:tab w:val="right" w:pos="9923"/>
          <w:tab w:val="right" w:pos="10064"/>
        </w:tabs>
        <w:jc w:val="both"/>
      </w:pPr>
    </w:p>
    <w:p w14:paraId="3A95228E" w14:textId="2CDCBE54" w:rsidR="001B51A3" w:rsidRPr="0051135D" w:rsidRDefault="00334158" w:rsidP="002A1428">
      <w:pPr>
        <w:tabs>
          <w:tab w:val="right" w:pos="10064"/>
        </w:tabs>
        <w:spacing w:after="120"/>
        <w:ind w:left="284" w:hanging="284"/>
        <w:jc w:val="both"/>
        <w:rPr>
          <w:color w:val="000000"/>
        </w:rPr>
      </w:pPr>
      <w:r w:rsidRPr="0051135D">
        <w:t xml:space="preserve">1 - </w:t>
      </w:r>
      <w:r w:rsidR="002A1428" w:rsidRPr="0051135D">
        <w:t xml:space="preserve">A instituição financeira que incorrer em deficiência no cumprimento das exigibilidades e das </w:t>
      </w:r>
      <w:proofErr w:type="spellStart"/>
      <w:r w:rsidR="002A1428" w:rsidRPr="0051135D">
        <w:t>subexigibilidades</w:t>
      </w:r>
      <w:proofErr w:type="spellEnd"/>
      <w:r w:rsidR="002A1428" w:rsidRPr="0051135D">
        <w:t xml:space="preserve"> de direcionamento de recursos para aplicação em crédito rural dos Recursos Obrigatórios, da Poupança Rural e das Letras de Crédito do Agronegócio (LCA), fica sujeita, no último dia útil do mês de setembro do ano em que for finalizado o período de cumprimento, ao pagamento de custo financeiro, na forma desta Seção.</w:t>
      </w:r>
      <w:r w:rsidR="001B51A3" w:rsidRPr="0051135D">
        <w:t xml:space="preserve"> </w:t>
      </w:r>
      <w:r w:rsidR="001B51A3" w:rsidRPr="0051135D">
        <w:rPr>
          <w:color w:val="000000"/>
        </w:rPr>
        <w:t xml:space="preserve">(Res BCB </w:t>
      </w:r>
      <w:r w:rsidR="00A97C48" w:rsidRPr="0051135D">
        <w:rPr>
          <w:color w:val="000000"/>
        </w:rPr>
        <w:t xml:space="preserve">nº </w:t>
      </w:r>
      <w:r w:rsidR="002A1428" w:rsidRPr="0051135D">
        <w:rPr>
          <w:color w:val="000000"/>
        </w:rPr>
        <w:t>261</w:t>
      </w:r>
      <w:r w:rsidR="001B51A3" w:rsidRPr="0051135D">
        <w:rPr>
          <w:color w:val="000000"/>
        </w:rPr>
        <w:t xml:space="preserve"> </w:t>
      </w:r>
      <w:proofErr w:type="spellStart"/>
      <w:r w:rsidR="001B51A3" w:rsidRPr="0051135D">
        <w:rPr>
          <w:color w:val="000000"/>
        </w:rPr>
        <w:t>art</w:t>
      </w:r>
      <w:proofErr w:type="spellEnd"/>
      <w:r w:rsidR="001B51A3" w:rsidRPr="0051135D">
        <w:rPr>
          <w:color w:val="000000"/>
        </w:rPr>
        <w:t xml:space="preserve"> 1º</w:t>
      </w:r>
      <w:r w:rsidR="002A1428" w:rsidRPr="0051135D">
        <w:rPr>
          <w:color w:val="000000"/>
        </w:rPr>
        <w:t>)</w:t>
      </w:r>
      <w:r w:rsidR="002A1428" w:rsidRPr="0051135D">
        <w:rPr>
          <w:color w:val="000000"/>
        </w:rPr>
        <w:tab/>
        <w:t>(*)</w:t>
      </w:r>
    </w:p>
    <w:p w14:paraId="29DF4B1C" w14:textId="6EF614B2" w:rsidR="000E7A40" w:rsidRPr="0051135D" w:rsidRDefault="000E7A40" w:rsidP="002A1428">
      <w:pPr>
        <w:tabs>
          <w:tab w:val="right" w:pos="10064"/>
        </w:tabs>
        <w:spacing w:after="120"/>
        <w:ind w:left="284" w:hanging="284"/>
        <w:jc w:val="both"/>
      </w:pPr>
      <w:r w:rsidRPr="0051135D">
        <w:t xml:space="preserve"> 2 - Custo financeiro é a compensação financeira, devida pela instituição financeira ao Banco Central do Brasil, pelo não cumprimento das exigibilidades e das </w:t>
      </w:r>
      <w:proofErr w:type="spellStart"/>
      <w:r w:rsidRPr="0051135D">
        <w:t>subexigibilidades</w:t>
      </w:r>
      <w:proofErr w:type="spellEnd"/>
      <w:r w:rsidRPr="0051135D">
        <w:t xml:space="preserve"> de direcionamento de recursos para aplicação em crédito rural.</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76513D72" w14:textId="08757E55" w:rsidR="000E7A40" w:rsidRPr="0051135D" w:rsidRDefault="000E7A40" w:rsidP="000E7A40">
      <w:pPr>
        <w:tabs>
          <w:tab w:val="right" w:pos="9923"/>
        </w:tabs>
        <w:spacing w:after="120"/>
        <w:ind w:left="284" w:hanging="284"/>
        <w:jc w:val="both"/>
      </w:pPr>
      <w:r w:rsidRPr="0051135D">
        <w:t xml:space="preserve">3 - A base de cálculo do custo financeiro é a deficiência de aplicação em crédito rural nas exigibilidades e </w:t>
      </w:r>
      <w:proofErr w:type="spellStart"/>
      <w:r w:rsidRPr="0051135D">
        <w:t>subexigibilidades</w:t>
      </w:r>
      <w:proofErr w:type="spellEnd"/>
      <w:r w:rsidRPr="0051135D">
        <w:t xml:space="preserve"> de direcionamento de recursos apurada na posição relativa ao mês de junho do ano em que for finalizado o período de cumprimento da exigibilidade, de acordo com o apurado no Demonstrativo das Exigibilidades e das Aplicações de Crédito Rural.</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25AF3B2C" w14:textId="3289CD5C" w:rsidR="000E7A40" w:rsidRPr="0051135D" w:rsidRDefault="000E7A40" w:rsidP="000E7A40">
      <w:pPr>
        <w:tabs>
          <w:tab w:val="left" w:pos="1418"/>
          <w:tab w:val="right" w:pos="10064"/>
        </w:tabs>
        <w:spacing w:after="120"/>
        <w:ind w:left="284" w:hanging="284"/>
        <w:jc w:val="both"/>
      </w:pPr>
      <w:r w:rsidRPr="0051135D">
        <w:t>4 - O custo financeiro será calculado sobre a deficiência apurada no Demonstrativo das Exigibilidades e das Aplicações de Crédito Rural, mediante a adoção da seguinte fórmula:</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4E7DCB18" w14:textId="77777777" w:rsidR="000E7A40" w:rsidRPr="0051135D" w:rsidRDefault="000E7A40" w:rsidP="000E7A40">
      <w:pPr>
        <w:tabs>
          <w:tab w:val="left" w:pos="1418"/>
          <w:tab w:val="right" w:pos="10064"/>
        </w:tabs>
        <w:spacing w:after="120"/>
        <w:ind w:left="284" w:hanging="284"/>
        <w:jc w:val="center"/>
      </w:pPr>
      <m:oMath>
        <m:r>
          <w:rPr>
            <w:rFonts w:ascii="Cambria Math" w:eastAsiaTheme="minorHAnsi" w:hAnsi="Cambria Math"/>
            <w:color w:val="000000"/>
            <w:lang w:eastAsia="en-US"/>
          </w:rPr>
          <m:t>CFd=Defe ×(RmOpC-Tjme)</m:t>
        </m:r>
      </m:oMath>
      <w:r w:rsidRPr="0051135D">
        <w:t>, na qual:</w:t>
      </w:r>
    </w:p>
    <w:p w14:paraId="4AE535D4" w14:textId="77777777" w:rsidR="000E7A40" w:rsidRPr="0051135D" w:rsidRDefault="000E7A40" w:rsidP="000E7A40">
      <w:pPr>
        <w:tabs>
          <w:tab w:val="right" w:pos="10064"/>
        </w:tabs>
        <w:ind w:left="284" w:hanging="1"/>
        <w:jc w:val="both"/>
      </w:pPr>
      <w:proofErr w:type="spellStart"/>
      <w:r w:rsidRPr="0051135D">
        <w:t>CFd</w:t>
      </w:r>
      <w:proofErr w:type="spellEnd"/>
      <w:r w:rsidRPr="0051135D">
        <w:t xml:space="preserve"> = Custo Financeiro da deficiência no cumprimento das exigibilidades e/ou das </w:t>
      </w:r>
      <w:proofErr w:type="spellStart"/>
      <w:r w:rsidRPr="0051135D">
        <w:t>subexigibilidades</w:t>
      </w:r>
      <w:proofErr w:type="spellEnd"/>
      <w:r w:rsidRPr="0051135D">
        <w:t xml:space="preserve"> de direcionamento de recursos para aplicação em crédito rural, expresso em reais, com duas casas decimais e arredondamento matemático; </w:t>
      </w:r>
    </w:p>
    <w:p w14:paraId="564EE540" w14:textId="77777777" w:rsidR="000E7A40" w:rsidRPr="0051135D" w:rsidRDefault="000E7A40" w:rsidP="000E7A40">
      <w:pPr>
        <w:tabs>
          <w:tab w:val="right" w:pos="10064"/>
        </w:tabs>
        <w:ind w:left="284" w:hanging="1"/>
        <w:jc w:val="both"/>
      </w:pPr>
      <w:proofErr w:type="spellStart"/>
      <w:r w:rsidRPr="0051135D">
        <w:t>Defe</w:t>
      </w:r>
      <w:proofErr w:type="spellEnd"/>
      <w:r w:rsidRPr="0051135D">
        <w:t xml:space="preserve"> = Deficiência no cumprimento das exigibilidades e/ou das </w:t>
      </w:r>
      <w:proofErr w:type="spellStart"/>
      <w:r w:rsidRPr="0051135D">
        <w:t>subexigibilidades</w:t>
      </w:r>
      <w:proofErr w:type="spellEnd"/>
      <w:r w:rsidRPr="0051135D">
        <w:t xml:space="preserve">, de direcionamento de recursos para aplicação em crédito rural, expressa em reais, com duas casas decimais, de acordo com a posição informada no Demonstrativo das Exigibilidades e das Aplicações de Crédito Rural relativo ao mês de junho do ano em que for finalizado o período de cumprimento da exigibilidade; </w:t>
      </w:r>
    </w:p>
    <w:p w14:paraId="2BBD9CEC" w14:textId="77777777" w:rsidR="000E7A40" w:rsidRPr="0051135D" w:rsidRDefault="000E7A40" w:rsidP="000E7A40">
      <w:pPr>
        <w:tabs>
          <w:tab w:val="right" w:pos="10064"/>
        </w:tabs>
        <w:ind w:left="284" w:hanging="1"/>
        <w:jc w:val="both"/>
      </w:pPr>
      <w:proofErr w:type="spellStart"/>
      <w:r w:rsidRPr="0051135D">
        <w:t>RmOpC</w:t>
      </w:r>
      <w:proofErr w:type="spellEnd"/>
      <w:r w:rsidRPr="0051135D">
        <w:t xml:space="preserve"> = Rentabilidade média das operações de crédito da carteira da instituição financeira que apresentar a deficiência, expressa em termos anualizados, com quatro casas decimais e arredondamento matemático e calculada com base nos dados contidos no Balancete Patrimonial Analítico (Documento nº 1) - Código </w:t>
      </w:r>
      <w:proofErr w:type="spellStart"/>
      <w:r w:rsidRPr="0051135D">
        <w:t>Cadoc</w:t>
      </w:r>
      <w:proofErr w:type="spellEnd"/>
      <w:r w:rsidRPr="0051135D">
        <w:t xml:space="preserve"> 4010 da instituição financeira, relativos aos meses correspondentes aos do ano agrícola de referência; e </w:t>
      </w:r>
    </w:p>
    <w:p w14:paraId="2439C6F4" w14:textId="77777777" w:rsidR="000E7A40" w:rsidRPr="0051135D" w:rsidRDefault="000E7A40" w:rsidP="000E7A40">
      <w:pPr>
        <w:tabs>
          <w:tab w:val="right" w:pos="10064"/>
        </w:tabs>
        <w:spacing w:after="120"/>
        <w:ind w:left="284" w:hanging="1"/>
        <w:jc w:val="both"/>
      </w:pPr>
      <w:proofErr w:type="spellStart"/>
      <w:r w:rsidRPr="0051135D">
        <w:t>Tjme</w:t>
      </w:r>
      <w:proofErr w:type="spellEnd"/>
      <w:r w:rsidRPr="0051135D">
        <w:t xml:space="preserve"> = Taxa de juros média ponderada pelo valor de contratação das operações de crédito rural contratadas por todas as instituições financeiras, na modalidade prefixada, registradas no Sistema de Operações do Crédito Rural e do Proagro (</w:t>
      </w:r>
      <w:proofErr w:type="spellStart"/>
      <w:r w:rsidRPr="0051135D">
        <w:t>Sicor</w:t>
      </w:r>
      <w:proofErr w:type="spellEnd"/>
      <w:r w:rsidRPr="0051135D">
        <w:t xml:space="preserve">), concedidas no ano agrícola de referência para cumprimento da exigibilidade e/ou da </w:t>
      </w:r>
      <w:proofErr w:type="spellStart"/>
      <w:r w:rsidRPr="0051135D">
        <w:t>subexigibilidade</w:t>
      </w:r>
      <w:proofErr w:type="spellEnd"/>
      <w:r w:rsidRPr="0051135D">
        <w:t>, expressa em termos anualizados, com quatro casas decimais e arredondamento matemático.</w:t>
      </w:r>
    </w:p>
    <w:p w14:paraId="5792417A" w14:textId="257143AB" w:rsidR="000E7A40" w:rsidRPr="0051135D" w:rsidRDefault="000E7A40" w:rsidP="000E7A40">
      <w:pPr>
        <w:tabs>
          <w:tab w:val="right" w:pos="9923"/>
        </w:tabs>
        <w:spacing w:after="120"/>
        <w:ind w:left="284" w:hanging="284"/>
        <w:jc w:val="both"/>
      </w:pPr>
      <w:r w:rsidRPr="0051135D">
        <w:t xml:space="preserve">5 - A </w:t>
      </w:r>
      <w:proofErr w:type="spellStart"/>
      <w:r w:rsidRPr="0051135D">
        <w:t>RmOpC</w:t>
      </w:r>
      <w:proofErr w:type="spellEnd"/>
      <w:r w:rsidRPr="0051135D">
        <w:t xml:space="preserve"> será calculada pelo Banco Central do Brasil, mediante a adoção da seguinte fórmula:</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20E6C010" w14:textId="77777777" w:rsidR="000E7A40" w:rsidRPr="0051135D" w:rsidRDefault="000E7A40" w:rsidP="000E7A40">
      <w:pPr>
        <w:tabs>
          <w:tab w:val="right" w:pos="9923"/>
        </w:tabs>
        <w:spacing w:after="120"/>
        <w:ind w:left="284" w:hanging="284"/>
        <w:jc w:val="center"/>
      </w:pPr>
      <m:oMath>
        <m:r>
          <m:rPr>
            <m:sty m:val="p"/>
          </m:rPr>
          <w:rPr>
            <w:rFonts w:ascii="Cambria Math" w:eastAsiaTheme="minorHAnsi" w:hAnsi="Cambria Math"/>
            <w:color w:val="000000"/>
            <w:lang w:eastAsia="en-US"/>
          </w:rPr>
          <m:t>RmOpC</m:t>
        </m:r>
        <m:r>
          <w:rPr>
            <w:rFonts w:ascii="Cambria Math" w:eastAsiaTheme="minorHAnsi" w:hAnsi="Cambria Math"/>
            <w:color w:val="000000"/>
            <w:lang w:eastAsia="en-US"/>
          </w:rPr>
          <m:t>=</m:t>
        </m:r>
        <m:f>
          <m:fPr>
            <m:ctrlPr>
              <w:rPr>
                <w:rFonts w:ascii="Cambria Math" w:eastAsiaTheme="minorHAnsi" w:hAnsi="Cambria Math"/>
                <w:i/>
                <w:color w:val="000000"/>
                <w:lang w:eastAsia="en-US"/>
              </w:rPr>
            </m:ctrlPr>
          </m:fPr>
          <m:num>
            <m:sSub>
              <m:sSubPr>
                <m:ctrlPr>
                  <w:rPr>
                    <w:rFonts w:ascii="Cambria Math" w:eastAsiaTheme="minorHAnsi" w:hAnsi="Cambria Math"/>
                    <w:i/>
                    <w:color w:val="000000"/>
                    <w:lang w:eastAsia="en-US"/>
                  </w:rPr>
                </m:ctrlPr>
              </m:sSubPr>
              <m:e>
                <m:r>
                  <w:rPr>
                    <w:rFonts w:ascii="Cambria Math" w:eastAsiaTheme="minorHAnsi" w:hAnsi="Cambria Math"/>
                    <w:color w:val="000000"/>
                    <w:lang w:eastAsia="en-US"/>
                  </w:rPr>
                  <m:t>RdOpC</m:t>
                </m:r>
              </m:e>
              <m:sub>
                <m:r>
                  <w:rPr>
                    <w:rFonts w:ascii="Cambria Math" w:eastAsiaTheme="minorHAnsi" w:hAnsi="Cambria Math"/>
                    <w:color w:val="000000"/>
                    <w:lang w:eastAsia="en-US"/>
                  </w:rPr>
                  <m:t>jul20xx</m:t>
                </m:r>
              </m:sub>
            </m:sSub>
            <m:r>
              <w:rPr>
                <w:rFonts w:ascii="Cambria Math" w:eastAsiaTheme="minorHAnsi" w:hAnsi="Cambria Math"/>
                <w:color w:val="000000"/>
                <w:lang w:eastAsia="en-US"/>
              </w:rPr>
              <m:t xml:space="preserve">+ … + </m:t>
            </m:r>
            <m:sSub>
              <m:sSubPr>
                <m:ctrlPr>
                  <w:rPr>
                    <w:rFonts w:ascii="Cambria Math" w:eastAsiaTheme="minorHAnsi" w:hAnsi="Cambria Math"/>
                    <w:i/>
                    <w:color w:val="000000"/>
                    <w:lang w:eastAsia="en-US"/>
                  </w:rPr>
                </m:ctrlPr>
              </m:sSubPr>
              <m:e>
                <m:r>
                  <w:rPr>
                    <w:rFonts w:ascii="Cambria Math" w:eastAsiaTheme="minorHAnsi" w:hAnsi="Cambria Math"/>
                    <w:color w:val="000000"/>
                    <w:lang w:eastAsia="en-US"/>
                  </w:rPr>
                  <m:t>RdOpC</m:t>
                </m:r>
              </m:e>
              <m:sub>
                <m:r>
                  <w:rPr>
                    <w:rFonts w:ascii="Cambria Math" w:eastAsiaTheme="minorHAnsi" w:hAnsi="Cambria Math"/>
                    <w:color w:val="000000"/>
                    <w:lang w:eastAsia="en-US"/>
                  </w:rPr>
                  <m:t>jun20xx+1</m:t>
                </m:r>
              </m:sub>
            </m:sSub>
          </m:num>
          <m:den>
            <m:sSub>
              <m:sSubPr>
                <m:ctrlPr>
                  <w:rPr>
                    <w:rFonts w:ascii="Cambria Math" w:eastAsiaTheme="minorHAnsi" w:hAnsi="Cambria Math"/>
                    <w:i/>
                    <w:color w:val="000000"/>
                    <w:lang w:eastAsia="en-US"/>
                  </w:rPr>
                </m:ctrlPr>
              </m:sSubPr>
              <m:e>
                <m:r>
                  <w:rPr>
                    <w:rFonts w:ascii="Cambria Math" w:eastAsiaTheme="minorHAnsi" w:hAnsi="Cambria Math"/>
                    <w:color w:val="000000"/>
                    <w:lang w:eastAsia="en-US"/>
                  </w:rPr>
                  <m:t>(SOpC</m:t>
                </m:r>
              </m:e>
              <m:sub>
                <m:r>
                  <w:rPr>
                    <w:rFonts w:ascii="Cambria Math" w:eastAsiaTheme="minorHAnsi" w:hAnsi="Cambria Math"/>
                    <w:color w:val="000000"/>
                    <w:lang w:eastAsia="en-US"/>
                  </w:rPr>
                  <m:t>jun20xx</m:t>
                </m:r>
              </m:sub>
            </m:sSub>
            <m:r>
              <w:rPr>
                <w:rFonts w:ascii="Cambria Math" w:eastAsiaTheme="minorHAnsi" w:hAnsi="Cambria Math"/>
                <w:color w:val="000000"/>
                <w:lang w:eastAsia="en-US"/>
              </w:rPr>
              <m:t xml:space="preserve"> + … + </m:t>
            </m:r>
            <m:sSub>
              <m:sSubPr>
                <m:ctrlPr>
                  <w:rPr>
                    <w:rFonts w:ascii="Cambria Math" w:eastAsiaTheme="minorHAnsi" w:hAnsi="Cambria Math"/>
                    <w:i/>
                    <w:color w:val="000000"/>
                    <w:lang w:eastAsia="en-US"/>
                  </w:rPr>
                </m:ctrlPr>
              </m:sSubPr>
              <m:e>
                <m:r>
                  <w:rPr>
                    <w:rFonts w:ascii="Cambria Math" w:eastAsiaTheme="minorHAnsi" w:hAnsi="Cambria Math"/>
                    <w:color w:val="000000"/>
                    <w:lang w:eastAsia="en-US"/>
                  </w:rPr>
                  <m:t>SOpC</m:t>
                </m:r>
              </m:e>
              <m:sub>
                <m:r>
                  <w:rPr>
                    <w:rFonts w:ascii="Cambria Math" w:eastAsiaTheme="minorHAnsi" w:hAnsi="Cambria Math"/>
                    <w:color w:val="000000"/>
                    <w:lang w:eastAsia="en-US"/>
                  </w:rPr>
                  <m:t>jun20xx+1</m:t>
                </m:r>
              </m:sub>
            </m:sSub>
            <m:r>
              <w:rPr>
                <w:rFonts w:ascii="Cambria Math" w:eastAsiaTheme="minorHAnsi" w:hAnsi="Cambria Math"/>
                <w:color w:val="000000"/>
                <w:lang w:eastAsia="en-US"/>
              </w:rPr>
              <m:t>)/13</m:t>
            </m:r>
          </m:den>
        </m:f>
      </m:oMath>
      <w:r w:rsidRPr="0051135D">
        <w:t>, na qual:</w:t>
      </w:r>
    </w:p>
    <w:p w14:paraId="4F62D804" w14:textId="77777777" w:rsidR="000E7A40" w:rsidRPr="0051135D" w:rsidRDefault="000E7A40" w:rsidP="000E7A40">
      <w:pPr>
        <w:tabs>
          <w:tab w:val="left" w:pos="1418"/>
          <w:tab w:val="right" w:pos="10064"/>
        </w:tabs>
        <w:ind w:left="284"/>
        <w:jc w:val="both"/>
      </w:pPr>
      <w:proofErr w:type="spellStart"/>
      <w:r w:rsidRPr="0051135D">
        <w:t>RdOpC</w:t>
      </w:r>
      <w:proofErr w:type="spellEnd"/>
      <w:r w:rsidRPr="0051135D">
        <w:t xml:space="preserve"> = Renda de Operações de Crédito, observada no desdobramento de subgrupo 7.1.1.00.00-1 do Balancete Patrimonial Analítico (Documento nº 1) - Código </w:t>
      </w:r>
      <w:proofErr w:type="spellStart"/>
      <w:r w:rsidRPr="0051135D">
        <w:t>Cadoc</w:t>
      </w:r>
      <w:proofErr w:type="spellEnd"/>
      <w:r w:rsidRPr="0051135D">
        <w:t xml:space="preserve"> 4010 da instituição financeira, referente aos meses de julho a junho do ano agrícola de referência, subtraída da renda observada, no mesmo período, no título contábil:</w:t>
      </w:r>
    </w:p>
    <w:p w14:paraId="1E05DFC1" w14:textId="77777777" w:rsidR="000E7A40" w:rsidRPr="0051135D" w:rsidRDefault="000E7A40" w:rsidP="000E7A40">
      <w:pPr>
        <w:tabs>
          <w:tab w:val="left" w:pos="1418"/>
          <w:tab w:val="right" w:pos="10064"/>
        </w:tabs>
        <w:ind w:left="567" w:hanging="284"/>
        <w:jc w:val="both"/>
      </w:pPr>
      <w:r w:rsidRPr="0051135D">
        <w:t xml:space="preserve">a) 7.1.1.42.00-7 (Rendas de Financiamentos Rurais – Aplicações com Recursos Direcionados à Vista), quando se tratar de deficiência relativa à exigibilidade ou </w:t>
      </w:r>
      <w:proofErr w:type="spellStart"/>
      <w:r w:rsidRPr="0051135D">
        <w:t>subexigibilidade</w:t>
      </w:r>
      <w:proofErr w:type="spellEnd"/>
      <w:r w:rsidRPr="0051135D">
        <w:t xml:space="preserve"> de aplicação dos recursos obrigatórios;</w:t>
      </w:r>
    </w:p>
    <w:p w14:paraId="6265C1D5" w14:textId="77777777" w:rsidR="000E7A40" w:rsidRPr="0051135D" w:rsidRDefault="000E7A40" w:rsidP="000E7A40">
      <w:pPr>
        <w:tabs>
          <w:tab w:val="left" w:pos="1418"/>
          <w:tab w:val="right" w:pos="10064"/>
        </w:tabs>
        <w:ind w:left="567" w:hanging="284"/>
        <w:jc w:val="both"/>
      </w:pPr>
      <w:r w:rsidRPr="0051135D">
        <w:t xml:space="preserve">b) 7.1.1.43.00-6 (Rendas de Financiamentos Rurais – Aplicações com Recursos Direcionados da Poupança Rural), quando se tratar de deficiência relativa à exigibilidade ou </w:t>
      </w:r>
      <w:proofErr w:type="spellStart"/>
      <w:r w:rsidRPr="0051135D">
        <w:t>subexigibilidade</w:t>
      </w:r>
      <w:proofErr w:type="spellEnd"/>
      <w:r w:rsidRPr="0051135D">
        <w:t xml:space="preserve"> de aplicação dos recursos da poupança rural; e</w:t>
      </w:r>
    </w:p>
    <w:p w14:paraId="74C9F698" w14:textId="77777777" w:rsidR="000E7A40" w:rsidRPr="0051135D" w:rsidRDefault="000E7A40" w:rsidP="000E7A40">
      <w:pPr>
        <w:tabs>
          <w:tab w:val="left" w:pos="1418"/>
          <w:tab w:val="right" w:pos="10064"/>
        </w:tabs>
        <w:ind w:left="567" w:hanging="284"/>
        <w:jc w:val="both"/>
      </w:pPr>
      <w:r w:rsidRPr="0051135D">
        <w:t xml:space="preserve">c) 7.1.1.44.00-5 (Rendas de Financiamentos Rurais – Aplicações com Recursos Direcionados de LCA), quando se tratar de deficiência relativa ao direcionamento ou </w:t>
      </w:r>
      <w:proofErr w:type="spellStart"/>
      <w:r w:rsidRPr="0051135D">
        <w:t>subdirecionamento</w:t>
      </w:r>
      <w:proofErr w:type="spellEnd"/>
      <w:r w:rsidRPr="0051135D">
        <w:t xml:space="preserve"> de aplicação dos recursos captados por meio de emissão de LCA.</w:t>
      </w:r>
    </w:p>
    <w:p w14:paraId="03062CD8" w14:textId="77777777" w:rsidR="000E7A40" w:rsidRPr="0051135D" w:rsidRDefault="000E7A40" w:rsidP="000E7A40">
      <w:pPr>
        <w:tabs>
          <w:tab w:val="left" w:pos="1418"/>
          <w:tab w:val="right" w:pos="10064"/>
        </w:tabs>
        <w:ind w:left="284" w:hanging="1"/>
        <w:jc w:val="both"/>
      </w:pPr>
      <w:proofErr w:type="spellStart"/>
      <w:r w:rsidRPr="0051135D">
        <w:t>SOpC</w:t>
      </w:r>
      <w:proofErr w:type="spellEnd"/>
      <w:r w:rsidRPr="0051135D">
        <w:t xml:space="preserve"> = Saldo de Operações de Crédito, observado no subgrupo 1.6.0.00.00-1 do Balancete Patrimonial Analítico (Documento nº 1) - Código </w:t>
      </w:r>
      <w:proofErr w:type="spellStart"/>
      <w:r w:rsidRPr="0051135D">
        <w:t>Cadoc</w:t>
      </w:r>
      <w:proofErr w:type="spellEnd"/>
      <w:r w:rsidRPr="0051135D">
        <w:t xml:space="preserve"> 4010 da instituição financeira, referente aos meses de junho a junho do ano agrícola de referência e subtraído do saldo observado, no mesmo período, no título contábil:</w:t>
      </w:r>
    </w:p>
    <w:p w14:paraId="1EF30541" w14:textId="77777777" w:rsidR="000E7A40" w:rsidRPr="0051135D" w:rsidRDefault="000E7A40" w:rsidP="000E7A40">
      <w:pPr>
        <w:tabs>
          <w:tab w:val="left" w:pos="1418"/>
          <w:tab w:val="right" w:pos="10064"/>
        </w:tabs>
        <w:ind w:left="567" w:hanging="284"/>
        <w:jc w:val="both"/>
      </w:pPr>
      <w:r w:rsidRPr="0051135D">
        <w:t xml:space="preserve">a) 1.6.3.15.00-2 (Financiamentos Rurais – Aplicações com Recursos Direcionados à Vista), quando se tratar de deficiência relativa à exigibilidade ou </w:t>
      </w:r>
      <w:proofErr w:type="spellStart"/>
      <w:r w:rsidRPr="0051135D">
        <w:t>subexigibilidade</w:t>
      </w:r>
      <w:proofErr w:type="spellEnd"/>
      <w:r w:rsidRPr="0051135D">
        <w:t xml:space="preserve"> de aplicação dos recursos obrigatórios;</w:t>
      </w:r>
    </w:p>
    <w:p w14:paraId="6C1D5D96" w14:textId="77777777" w:rsidR="000E7A40" w:rsidRPr="0051135D" w:rsidRDefault="000E7A40" w:rsidP="000E7A40">
      <w:pPr>
        <w:tabs>
          <w:tab w:val="left" w:pos="1418"/>
          <w:tab w:val="right" w:pos="10064"/>
        </w:tabs>
        <w:ind w:left="567" w:hanging="284"/>
        <w:jc w:val="both"/>
      </w:pPr>
      <w:r w:rsidRPr="0051135D">
        <w:t xml:space="preserve">b) 1.6.3.25.00-9 (Financiamentos Rurais – Aplicações com Recursos Direcionados da Poupança Rural), quando se tratar de deficiência relativa à exigibilidade ou </w:t>
      </w:r>
      <w:proofErr w:type="spellStart"/>
      <w:r w:rsidRPr="0051135D">
        <w:t>subexigibilidade</w:t>
      </w:r>
      <w:proofErr w:type="spellEnd"/>
      <w:r w:rsidRPr="0051135D">
        <w:t xml:space="preserve"> de aplicação dos recursos da poupança rural; e </w:t>
      </w:r>
    </w:p>
    <w:p w14:paraId="3D9C4591" w14:textId="77777777" w:rsidR="000E7A40" w:rsidRPr="0051135D" w:rsidRDefault="000E7A40" w:rsidP="000E7A40">
      <w:pPr>
        <w:tabs>
          <w:tab w:val="left" w:pos="1418"/>
          <w:tab w:val="right" w:pos="10064"/>
        </w:tabs>
        <w:spacing w:after="120"/>
        <w:ind w:left="567" w:hanging="284"/>
        <w:jc w:val="both"/>
      </w:pPr>
      <w:r w:rsidRPr="0051135D">
        <w:t xml:space="preserve">c) 1.6.3.35.00-6 (Financiamentos Rurais - Aplicações com Recursos Direcionados de LCA), quando se tratar de deficiência relativa ao direcionamento ou </w:t>
      </w:r>
      <w:proofErr w:type="spellStart"/>
      <w:r w:rsidRPr="0051135D">
        <w:t>subdirecionamento</w:t>
      </w:r>
      <w:proofErr w:type="spellEnd"/>
      <w:r w:rsidRPr="0051135D">
        <w:t xml:space="preserve"> de aplicação dos recursos captados por meio de emissão de Letra de Crédito do Agronegócio (LCA).</w:t>
      </w:r>
    </w:p>
    <w:p w14:paraId="2F25B21B" w14:textId="3AF01A57" w:rsidR="000E7A40" w:rsidRPr="0051135D" w:rsidRDefault="000E7A40" w:rsidP="000E7A40">
      <w:pPr>
        <w:tabs>
          <w:tab w:val="left" w:pos="1418"/>
          <w:tab w:val="right" w:pos="10064"/>
        </w:tabs>
        <w:spacing w:after="120"/>
        <w:ind w:left="284" w:hanging="284"/>
        <w:jc w:val="both"/>
      </w:pPr>
      <w:r w:rsidRPr="0051135D">
        <w:lastRenderedPageBreak/>
        <w:t xml:space="preserve">6 - A </w:t>
      </w:r>
      <w:proofErr w:type="spellStart"/>
      <w:r w:rsidRPr="0051135D">
        <w:t>RmOpC</w:t>
      </w:r>
      <w:proofErr w:type="spellEnd"/>
      <w:r w:rsidRPr="0051135D">
        <w:t xml:space="preserve"> dos bancos cooperativos, das confederações de centrais de cooperativas de crédito e das cooperativas centrais de crédito será calculada com base na agregação dos dados constantes dos Balancetes Patrimoniais Analíticos (Documento nº 1) - Código </w:t>
      </w:r>
      <w:proofErr w:type="spellStart"/>
      <w:r w:rsidRPr="0051135D">
        <w:t>Cadoc</w:t>
      </w:r>
      <w:proofErr w:type="spellEnd"/>
      <w:r w:rsidRPr="0051135D">
        <w:t xml:space="preserve"> 4010 de todas as entidades do sistema cooperativo concedentes das operações de crédito rural.</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p>
    <w:p w14:paraId="542E74E6" w14:textId="5AC95FFA" w:rsidR="000E7A40" w:rsidRPr="0051135D" w:rsidRDefault="000E7A40" w:rsidP="000E7A40">
      <w:pPr>
        <w:tabs>
          <w:tab w:val="left" w:pos="1418"/>
          <w:tab w:val="right" w:pos="10064"/>
        </w:tabs>
        <w:ind w:left="284" w:hanging="284"/>
        <w:jc w:val="both"/>
      </w:pPr>
      <w:r w:rsidRPr="0051135D">
        <w:t xml:space="preserve">7 - A </w:t>
      </w:r>
      <w:proofErr w:type="spellStart"/>
      <w:r w:rsidRPr="0051135D">
        <w:t>Tjme</w:t>
      </w:r>
      <w:proofErr w:type="spellEnd"/>
      <w:r w:rsidRPr="0051135D">
        <w:t xml:space="preserve"> será calculada mediante a utilização das seguintes taxas, de acordo com o tipo de exigibilidade ou </w:t>
      </w:r>
      <w:proofErr w:type="spellStart"/>
      <w:r w:rsidRPr="0051135D">
        <w:t>subexigibilidade</w:t>
      </w:r>
      <w:proofErr w:type="spellEnd"/>
      <w:r w:rsidRPr="0051135D">
        <w:t>:</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15477326" w14:textId="77777777" w:rsidR="000E7A40" w:rsidRPr="0051135D" w:rsidRDefault="000E7A40" w:rsidP="000E7A40">
      <w:pPr>
        <w:tabs>
          <w:tab w:val="left" w:pos="1418"/>
          <w:tab w:val="right" w:pos="10064"/>
        </w:tabs>
        <w:ind w:left="567" w:hanging="284"/>
        <w:jc w:val="both"/>
      </w:pPr>
      <w:r w:rsidRPr="0051135D">
        <w:t>a) taxa de juros média das operações de crédito rural prefixadas contratadas para o cumprimento da exigibilidade de direcionamento dos Recursos Obrigatórios, exceto as operações contratadas ao amparo do Programa Nacional de Fortalecimento da Agricultura Familiar (Pronaf) e do Programa Nacional de Apoio ao Médio Produtor Rural (</w:t>
      </w:r>
      <w:proofErr w:type="spellStart"/>
      <w:r w:rsidRPr="0051135D">
        <w:t>Pronamp</w:t>
      </w:r>
      <w:proofErr w:type="spellEnd"/>
      <w:r w:rsidRPr="0051135D">
        <w:t>);</w:t>
      </w:r>
    </w:p>
    <w:p w14:paraId="7119393E" w14:textId="77777777" w:rsidR="000E7A40" w:rsidRPr="0051135D" w:rsidRDefault="000E7A40" w:rsidP="000E7A40">
      <w:pPr>
        <w:tabs>
          <w:tab w:val="left" w:pos="1418"/>
          <w:tab w:val="right" w:pos="10064"/>
        </w:tabs>
        <w:ind w:left="567" w:hanging="284"/>
        <w:jc w:val="both"/>
      </w:pPr>
      <w:r w:rsidRPr="0051135D">
        <w:t>b) taxa de juros média das operações de crédito rural prefixadas contratadas ao amparo do Pronaf;</w:t>
      </w:r>
    </w:p>
    <w:p w14:paraId="6FB5E174" w14:textId="77777777" w:rsidR="000E7A40" w:rsidRPr="0051135D" w:rsidRDefault="000E7A40" w:rsidP="000E7A40">
      <w:pPr>
        <w:tabs>
          <w:tab w:val="left" w:pos="1418"/>
          <w:tab w:val="right" w:pos="10064"/>
        </w:tabs>
        <w:ind w:left="567" w:hanging="284"/>
        <w:jc w:val="both"/>
      </w:pPr>
      <w:r w:rsidRPr="0051135D">
        <w:t xml:space="preserve">c) taxa de juros média das operações de crédito rural prefixadas contratadas ao amparo do </w:t>
      </w:r>
      <w:proofErr w:type="spellStart"/>
      <w:r w:rsidRPr="0051135D">
        <w:t>Pronamp</w:t>
      </w:r>
      <w:proofErr w:type="spellEnd"/>
      <w:r w:rsidRPr="0051135D">
        <w:t>;</w:t>
      </w:r>
    </w:p>
    <w:p w14:paraId="2F970891" w14:textId="77777777" w:rsidR="000E7A40" w:rsidRPr="0051135D" w:rsidRDefault="000E7A40" w:rsidP="000E7A40">
      <w:pPr>
        <w:tabs>
          <w:tab w:val="left" w:pos="1418"/>
          <w:tab w:val="right" w:pos="10064"/>
        </w:tabs>
        <w:ind w:left="567" w:hanging="284"/>
        <w:jc w:val="both"/>
      </w:pPr>
      <w:r w:rsidRPr="0051135D">
        <w:t>d) taxa de juros média das operações de crédito rural prefixadas contratadas para o cumprimento da exigibilidade do direcionamento dos Recursos da Poupança Rural; e</w:t>
      </w:r>
    </w:p>
    <w:p w14:paraId="50306C08" w14:textId="77777777" w:rsidR="000E7A40" w:rsidRPr="0051135D" w:rsidRDefault="000E7A40" w:rsidP="000E7A40">
      <w:pPr>
        <w:tabs>
          <w:tab w:val="left" w:pos="1418"/>
          <w:tab w:val="right" w:pos="10064"/>
        </w:tabs>
        <w:spacing w:after="120"/>
        <w:ind w:left="567" w:hanging="284"/>
        <w:jc w:val="both"/>
      </w:pPr>
      <w:r w:rsidRPr="0051135D">
        <w:t>e) taxa de juros média das operações de crédito rural prefixadas contratadas para o cumprimento da exigibilidade do direcionamento dos Recursos da LCA.</w:t>
      </w:r>
    </w:p>
    <w:p w14:paraId="6CAD4213" w14:textId="2BC44193" w:rsidR="000E7A40" w:rsidRPr="0051135D" w:rsidRDefault="000E7A40" w:rsidP="000E7A40">
      <w:pPr>
        <w:tabs>
          <w:tab w:val="left" w:pos="1418"/>
          <w:tab w:val="right" w:pos="10064"/>
        </w:tabs>
        <w:spacing w:after="120"/>
        <w:ind w:left="284" w:hanging="284"/>
        <w:jc w:val="both"/>
      </w:pPr>
      <w:r w:rsidRPr="0051135D">
        <w:t xml:space="preserve">8 - </w:t>
      </w:r>
      <w:r w:rsidR="002A1428" w:rsidRPr="0051135D">
        <w:t xml:space="preserve">O Banco Central do Brasil divulgará os valores da </w:t>
      </w:r>
      <w:proofErr w:type="spellStart"/>
      <w:r w:rsidR="002A1428" w:rsidRPr="0051135D">
        <w:t>Tjme</w:t>
      </w:r>
      <w:proofErr w:type="spellEnd"/>
      <w:r w:rsidR="002A1428" w:rsidRPr="0051135D">
        <w:t xml:space="preserve"> até o décimo dia útil do mês de agosto do ano em que for finalizado o período de cumprimento</w:t>
      </w:r>
      <w:r w:rsidRPr="0051135D">
        <w:t>.</w:t>
      </w:r>
      <w:r w:rsidR="006E1DC0" w:rsidRPr="0051135D">
        <w:rPr>
          <w:color w:val="000000"/>
        </w:rPr>
        <w:t xml:space="preserve"> (Res BCB </w:t>
      </w:r>
      <w:r w:rsidR="00A97C48" w:rsidRPr="0051135D">
        <w:rPr>
          <w:color w:val="000000"/>
        </w:rPr>
        <w:t xml:space="preserve">nº </w:t>
      </w:r>
      <w:r w:rsidR="002A1428" w:rsidRPr="0051135D">
        <w:rPr>
          <w:color w:val="000000"/>
        </w:rPr>
        <w:t>261</w:t>
      </w:r>
      <w:r w:rsidR="006E1DC0" w:rsidRPr="0051135D">
        <w:rPr>
          <w:color w:val="000000"/>
        </w:rPr>
        <w:t xml:space="preserve"> </w:t>
      </w:r>
      <w:proofErr w:type="spellStart"/>
      <w:r w:rsidR="006E1DC0" w:rsidRPr="0051135D">
        <w:rPr>
          <w:color w:val="000000"/>
        </w:rPr>
        <w:t>art</w:t>
      </w:r>
      <w:proofErr w:type="spellEnd"/>
      <w:r w:rsidR="006E1DC0" w:rsidRPr="0051135D">
        <w:rPr>
          <w:color w:val="000000"/>
        </w:rPr>
        <w:t xml:space="preserve"> 1º)</w:t>
      </w:r>
      <w:r w:rsidR="002A1428" w:rsidRPr="0051135D">
        <w:rPr>
          <w:color w:val="000000"/>
        </w:rPr>
        <w:tab/>
        <w:t>(*)</w:t>
      </w:r>
    </w:p>
    <w:p w14:paraId="4DCCC491" w14:textId="590B33EF" w:rsidR="000E7A40" w:rsidRPr="0051135D" w:rsidRDefault="000E7A40" w:rsidP="000E7A40">
      <w:pPr>
        <w:tabs>
          <w:tab w:val="left" w:pos="1418"/>
          <w:tab w:val="right" w:pos="10064"/>
        </w:tabs>
        <w:spacing w:after="120"/>
        <w:ind w:left="284" w:hanging="284"/>
        <w:jc w:val="both"/>
      </w:pPr>
      <w:r w:rsidRPr="0051135D">
        <w:t xml:space="preserve">9 - Quando a diferença entre a </w:t>
      </w:r>
      <w:proofErr w:type="spellStart"/>
      <w:r w:rsidRPr="0051135D">
        <w:t>RmOpC</w:t>
      </w:r>
      <w:proofErr w:type="spellEnd"/>
      <w:r w:rsidRPr="0051135D">
        <w:t xml:space="preserve"> e a </w:t>
      </w:r>
      <w:proofErr w:type="spellStart"/>
      <w:r w:rsidRPr="0051135D">
        <w:t>Tjme</w:t>
      </w:r>
      <w:proofErr w:type="spellEnd"/>
      <w:r w:rsidRPr="0051135D">
        <w:t xml:space="preserve"> for menor do que zero, considerar-se-á o resultado dessa diferença como sendo zero.</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439DDDA5" w14:textId="635AB664" w:rsidR="000E7A40" w:rsidRPr="0051135D" w:rsidRDefault="000E7A40" w:rsidP="000E7A40">
      <w:pPr>
        <w:tabs>
          <w:tab w:val="left" w:pos="1418"/>
          <w:tab w:val="right" w:pos="10064"/>
        </w:tabs>
        <w:ind w:left="284" w:hanging="284"/>
        <w:jc w:val="both"/>
      </w:pPr>
      <w:r w:rsidRPr="0051135D">
        <w:t>10 - O pagamento do custo financeiro:</w:t>
      </w:r>
      <w:r w:rsidR="006E1DC0" w:rsidRPr="0051135D">
        <w:rPr>
          <w:color w:val="000000"/>
        </w:rPr>
        <w:t xml:space="preserve"> (Res BCB</w:t>
      </w:r>
      <w:r w:rsidR="00A97C48" w:rsidRPr="0051135D">
        <w:rPr>
          <w:color w:val="000000"/>
        </w:rPr>
        <w:t xml:space="preserve"> nº</w:t>
      </w:r>
      <w:r w:rsidR="006E1DC0" w:rsidRPr="0051135D">
        <w:rPr>
          <w:color w:val="000000"/>
        </w:rPr>
        <w:t xml:space="preserve"> 87 </w:t>
      </w:r>
      <w:proofErr w:type="spellStart"/>
      <w:r w:rsidR="006E1DC0" w:rsidRPr="0051135D">
        <w:rPr>
          <w:color w:val="000000"/>
        </w:rPr>
        <w:t>art</w:t>
      </w:r>
      <w:proofErr w:type="spellEnd"/>
      <w:r w:rsidR="006E1DC0" w:rsidRPr="0051135D">
        <w:rPr>
          <w:color w:val="000000"/>
        </w:rPr>
        <w:t xml:space="preserve"> 1º</w:t>
      </w:r>
      <w:r w:rsidR="0007664B" w:rsidRPr="0051135D">
        <w:rPr>
          <w:color w:val="000000"/>
        </w:rPr>
        <w:t xml:space="preserve">; Res BCB </w:t>
      </w:r>
      <w:r w:rsidR="00A97C48" w:rsidRPr="0051135D">
        <w:rPr>
          <w:color w:val="000000"/>
        </w:rPr>
        <w:t xml:space="preserve">nº </w:t>
      </w:r>
      <w:r w:rsidR="0007664B" w:rsidRPr="0051135D">
        <w:rPr>
          <w:color w:val="000000"/>
        </w:rPr>
        <w:t xml:space="preserve">261 </w:t>
      </w:r>
      <w:proofErr w:type="spellStart"/>
      <w:r w:rsidR="0007664B" w:rsidRPr="0051135D">
        <w:rPr>
          <w:color w:val="000000"/>
        </w:rPr>
        <w:t>art</w:t>
      </w:r>
      <w:proofErr w:type="spellEnd"/>
      <w:r w:rsidR="0007664B" w:rsidRPr="0051135D">
        <w:rPr>
          <w:color w:val="000000"/>
        </w:rPr>
        <w:t xml:space="preserve"> 1º</w:t>
      </w:r>
      <w:r w:rsidR="006E1DC0" w:rsidRPr="0051135D">
        <w:rPr>
          <w:color w:val="000000"/>
        </w:rPr>
        <w:t>)</w:t>
      </w:r>
    </w:p>
    <w:p w14:paraId="1A4CDD28" w14:textId="2D6C7978" w:rsidR="000E7A40" w:rsidRPr="0051135D" w:rsidRDefault="000E7A40" w:rsidP="000E7A40">
      <w:pPr>
        <w:tabs>
          <w:tab w:val="left" w:pos="1418"/>
          <w:tab w:val="right" w:pos="10064"/>
        </w:tabs>
        <w:ind w:left="567" w:hanging="284"/>
        <w:jc w:val="both"/>
      </w:pPr>
      <w:r w:rsidRPr="0051135D">
        <w:t xml:space="preserve">a) </w:t>
      </w:r>
      <w:r w:rsidR="0007664B" w:rsidRPr="0051135D">
        <w:t>será previamente informado à instituição financeira, por meio de notificação, até o décimo dia útil do mês de agosto do ano em que for finalizado o período de cumprimento</w:t>
      </w:r>
      <w:r w:rsidRPr="0051135D">
        <w:t>; e</w:t>
      </w:r>
      <w:r w:rsidR="0007664B" w:rsidRPr="0051135D">
        <w:rPr>
          <w:color w:val="000000"/>
        </w:rPr>
        <w:t xml:space="preserve"> (Res BCB </w:t>
      </w:r>
      <w:r w:rsidR="00A97C48" w:rsidRPr="0051135D">
        <w:rPr>
          <w:color w:val="000000"/>
        </w:rPr>
        <w:t xml:space="preserve">nº </w:t>
      </w:r>
      <w:r w:rsidR="0007664B" w:rsidRPr="0051135D">
        <w:rPr>
          <w:color w:val="000000"/>
        </w:rPr>
        <w:t xml:space="preserve">261 </w:t>
      </w:r>
      <w:proofErr w:type="spellStart"/>
      <w:r w:rsidR="0007664B" w:rsidRPr="0051135D">
        <w:rPr>
          <w:color w:val="000000"/>
        </w:rPr>
        <w:t>art</w:t>
      </w:r>
      <w:proofErr w:type="spellEnd"/>
      <w:r w:rsidR="0007664B" w:rsidRPr="0051135D">
        <w:rPr>
          <w:color w:val="000000"/>
        </w:rPr>
        <w:t xml:space="preserve"> 1º)</w:t>
      </w:r>
      <w:r w:rsidR="0007664B" w:rsidRPr="0051135D">
        <w:rPr>
          <w:color w:val="000000"/>
        </w:rPr>
        <w:tab/>
        <w:t>(*)</w:t>
      </w:r>
    </w:p>
    <w:p w14:paraId="11CD15AF" w14:textId="2684E31D" w:rsidR="000E7A40" w:rsidRPr="0051135D" w:rsidRDefault="000E7A40" w:rsidP="000E7A40">
      <w:pPr>
        <w:tabs>
          <w:tab w:val="left" w:pos="1418"/>
          <w:tab w:val="right" w:pos="10064"/>
        </w:tabs>
        <w:spacing w:after="120"/>
        <w:ind w:left="567" w:hanging="284"/>
        <w:jc w:val="both"/>
      </w:pPr>
      <w:r w:rsidRPr="0051135D">
        <w:t xml:space="preserve">b) deverá ser efetuado exclusivamente em espécie, por iniciativa da instituição financeira, por meio do Sistema de Lançamentos do Banco Central (SLB). </w:t>
      </w:r>
      <w:r w:rsidR="0007664B" w:rsidRPr="0051135D">
        <w:rPr>
          <w:color w:val="000000"/>
        </w:rPr>
        <w:t xml:space="preserve">(Res BCB </w:t>
      </w:r>
      <w:r w:rsidR="00A97C48" w:rsidRPr="0051135D">
        <w:rPr>
          <w:color w:val="000000"/>
        </w:rPr>
        <w:t xml:space="preserve">nº </w:t>
      </w:r>
      <w:r w:rsidR="0007664B" w:rsidRPr="0051135D">
        <w:rPr>
          <w:color w:val="000000"/>
        </w:rPr>
        <w:t xml:space="preserve">87 </w:t>
      </w:r>
      <w:proofErr w:type="spellStart"/>
      <w:r w:rsidR="0007664B" w:rsidRPr="0051135D">
        <w:rPr>
          <w:color w:val="000000"/>
        </w:rPr>
        <w:t>art</w:t>
      </w:r>
      <w:proofErr w:type="spellEnd"/>
      <w:r w:rsidR="0007664B" w:rsidRPr="0051135D">
        <w:rPr>
          <w:color w:val="000000"/>
        </w:rPr>
        <w:t xml:space="preserve"> 1º)</w:t>
      </w:r>
    </w:p>
    <w:p w14:paraId="03C59F5D" w14:textId="2C4E16AB" w:rsidR="000E7A40" w:rsidRPr="0051135D" w:rsidRDefault="000E7A40" w:rsidP="000E7A40">
      <w:pPr>
        <w:tabs>
          <w:tab w:val="left" w:pos="1418"/>
          <w:tab w:val="right" w:pos="10064"/>
        </w:tabs>
        <w:spacing w:after="120"/>
        <w:ind w:left="284" w:hanging="284"/>
        <w:jc w:val="both"/>
      </w:pPr>
      <w:r w:rsidRPr="0051135D">
        <w:t>11 - A instituição financeira não titular de conta Reservas Bancárias ou de Conta de Liquidação que incorrer na deficiência apurada na forma desta Seção deverá indicar a instituição financeira titular de conta Reservas Bancárias à qual deverão ser encaminhadas as cobranças pertinentes e creditadas eventuais devoluções relativas aos custos financeiros de que trata esta Seção.</w:t>
      </w:r>
      <w:r w:rsidR="006E1DC0" w:rsidRPr="0051135D">
        <w:rPr>
          <w:color w:val="000000"/>
        </w:rPr>
        <w:t xml:space="preserve"> (Res BCB </w:t>
      </w:r>
      <w:r w:rsidR="00A97C48" w:rsidRPr="0051135D">
        <w:rPr>
          <w:color w:val="000000"/>
        </w:rPr>
        <w:t xml:space="preserve">nº </w:t>
      </w:r>
      <w:r w:rsidR="006E1DC0" w:rsidRPr="0051135D">
        <w:rPr>
          <w:color w:val="000000"/>
        </w:rPr>
        <w:t xml:space="preserve">87 </w:t>
      </w:r>
      <w:proofErr w:type="spellStart"/>
      <w:r w:rsidR="006E1DC0" w:rsidRPr="0051135D">
        <w:rPr>
          <w:color w:val="000000"/>
        </w:rPr>
        <w:t>art</w:t>
      </w:r>
      <w:proofErr w:type="spellEnd"/>
      <w:r w:rsidR="006E1DC0" w:rsidRPr="0051135D">
        <w:rPr>
          <w:color w:val="000000"/>
        </w:rPr>
        <w:t xml:space="preserve"> 1º)</w:t>
      </w:r>
      <w:r w:rsidRPr="0051135D">
        <w:t xml:space="preserve"> </w:t>
      </w:r>
    </w:p>
    <w:p w14:paraId="52976BD8" w14:textId="749D6912" w:rsidR="007D71B6" w:rsidRPr="0051135D" w:rsidRDefault="000E7A40" w:rsidP="000E7A40">
      <w:pPr>
        <w:tabs>
          <w:tab w:val="right" w:pos="10064"/>
        </w:tabs>
        <w:spacing w:after="120"/>
        <w:ind w:left="284" w:hanging="284"/>
        <w:jc w:val="both"/>
        <w:rPr>
          <w:color w:val="000000"/>
        </w:rPr>
      </w:pPr>
      <w:r w:rsidRPr="0051135D">
        <w:t xml:space="preserve">12 - </w:t>
      </w:r>
      <w:r w:rsidR="0007664B" w:rsidRPr="0051135D">
        <w:t>O pagamento de custo financeiro em data posterior ao estabelecido nesta Seção será atualizado desde o dia do vencimento até a data do efetivo pagamento, mediante a aplicação da Taxa Selic</w:t>
      </w:r>
      <w:r w:rsidRPr="0051135D">
        <w:t>.</w:t>
      </w:r>
      <w:r w:rsidR="006E1DC0" w:rsidRPr="0051135D">
        <w:rPr>
          <w:color w:val="000000"/>
        </w:rPr>
        <w:t xml:space="preserve"> (Res BCB </w:t>
      </w:r>
      <w:r w:rsidR="00A97C48" w:rsidRPr="0051135D">
        <w:rPr>
          <w:color w:val="000000"/>
        </w:rPr>
        <w:t xml:space="preserve">nº </w:t>
      </w:r>
      <w:r w:rsidR="0007664B" w:rsidRPr="0051135D">
        <w:rPr>
          <w:color w:val="000000"/>
        </w:rPr>
        <w:t>261</w:t>
      </w:r>
      <w:r w:rsidR="006E1DC0" w:rsidRPr="0051135D">
        <w:rPr>
          <w:color w:val="000000"/>
        </w:rPr>
        <w:t xml:space="preserve"> </w:t>
      </w:r>
      <w:proofErr w:type="spellStart"/>
      <w:r w:rsidR="006E1DC0" w:rsidRPr="0051135D">
        <w:rPr>
          <w:color w:val="000000"/>
        </w:rPr>
        <w:t>art</w:t>
      </w:r>
      <w:proofErr w:type="spellEnd"/>
      <w:r w:rsidR="006E1DC0" w:rsidRPr="0051135D">
        <w:rPr>
          <w:color w:val="000000"/>
        </w:rPr>
        <w:t xml:space="preserve"> 1º)</w:t>
      </w:r>
      <w:r w:rsidR="0007664B" w:rsidRPr="0051135D">
        <w:rPr>
          <w:color w:val="000000"/>
        </w:rPr>
        <w:tab/>
        <w:t>(*)</w:t>
      </w:r>
    </w:p>
    <w:p w14:paraId="2B3066EC" w14:textId="653CB84E" w:rsidR="00BA2DAB" w:rsidRDefault="0007664B" w:rsidP="00151AD9">
      <w:pPr>
        <w:tabs>
          <w:tab w:val="right" w:pos="10064"/>
        </w:tabs>
        <w:spacing w:after="120"/>
        <w:ind w:left="284" w:hanging="284"/>
        <w:jc w:val="both"/>
      </w:pPr>
      <w:r w:rsidRPr="0051135D">
        <w:t>13 - Após o recebimento da notificação informando o valor do custo financeiro devido, a instituição financeira poderá manifestar-se conforme prazos e ritos estabelecidos pela Lei nº 9.784, de 29 de janeiro de 1999, e demais normas aplicáveis.</w:t>
      </w:r>
      <w:r w:rsidRPr="0051135D">
        <w:rPr>
          <w:color w:val="000000"/>
        </w:rPr>
        <w:t xml:space="preserve"> (Res BCB </w:t>
      </w:r>
      <w:r w:rsidR="00A97C48" w:rsidRPr="0051135D">
        <w:rPr>
          <w:color w:val="000000"/>
        </w:rPr>
        <w:t xml:space="preserve">nº </w:t>
      </w:r>
      <w:r w:rsidRPr="0051135D">
        <w:rPr>
          <w:color w:val="000000"/>
        </w:rPr>
        <w:t xml:space="preserve">261 </w:t>
      </w:r>
      <w:proofErr w:type="spellStart"/>
      <w:r w:rsidRPr="0051135D">
        <w:rPr>
          <w:color w:val="000000"/>
        </w:rPr>
        <w:t>art</w:t>
      </w:r>
      <w:proofErr w:type="spellEnd"/>
      <w:r w:rsidRPr="0051135D">
        <w:rPr>
          <w:color w:val="000000"/>
        </w:rPr>
        <w:t xml:space="preserve"> 1º)</w:t>
      </w:r>
      <w:r w:rsidRPr="0051135D">
        <w:rPr>
          <w:color w:val="000000"/>
        </w:rPr>
        <w:tab/>
        <w:t>(*)</w:t>
      </w:r>
    </w:p>
    <w:p w14:paraId="74E4009D" w14:textId="77777777" w:rsidR="00151AD9" w:rsidRPr="00BA2DAB" w:rsidRDefault="00151AD9" w:rsidP="00151AD9">
      <w:pPr>
        <w:tabs>
          <w:tab w:val="right" w:pos="10064"/>
        </w:tabs>
        <w:spacing w:after="120"/>
        <w:ind w:left="284" w:hanging="284"/>
        <w:jc w:val="both"/>
      </w:pPr>
    </w:p>
    <w:sectPr w:rsidR="00151AD9" w:rsidRPr="00BA2DAB" w:rsidSect="00187FC9">
      <w:headerReference w:type="default" r:id="rId8"/>
      <w:footerReference w:type="default" r:id="rId9"/>
      <w:footerReference w:type="first" r:id="rId10"/>
      <w:type w:val="continuous"/>
      <w:pgSz w:w="11907" w:h="16840" w:code="9"/>
      <w:pgMar w:top="531"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A0F2" w14:textId="77777777" w:rsidR="00071B99" w:rsidRDefault="00071B99">
      <w:r>
        <w:separator/>
      </w:r>
    </w:p>
  </w:endnote>
  <w:endnote w:type="continuationSeparator" w:id="0">
    <w:p w14:paraId="55C47080" w14:textId="77777777" w:rsidR="00071B99" w:rsidRDefault="0007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24CE" w14:textId="505C7248" w:rsidR="007D71B6" w:rsidRPr="0017768F" w:rsidRDefault="00273AC0" w:rsidP="0017768F">
    <w:pPr>
      <w:pStyle w:val="Rodap"/>
      <w:pBdr>
        <w:top w:val="single" w:sz="4" w:space="1" w:color="auto"/>
      </w:pBdr>
      <w:tabs>
        <w:tab w:val="clear" w:pos="4419"/>
        <w:tab w:val="clear" w:pos="8838"/>
        <w:tab w:val="right" w:pos="9356"/>
      </w:tabs>
      <w:spacing w:before="240"/>
      <w:jc w:val="both"/>
    </w:pPr>
    <w:r w:rsidRPr="00273AC0">
      <w:t xml:space="preserve">Atualização MCR nº 712, de </w:t>
    </w:r>
    <w:r w:rsidR="007A147B">
      <w:t xml:space="preserve">5 </w:t>
    </w:r>
    <w:r w:rsidRPr="00273AC0">
      <w:t>de dezembro 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E37CD" w14:textId="171604B0" w:rsidR="007C5EFA" w:rsidRPr="0017768F" w:rsidRDefault="00273AC0" w:rsidP="007C5EFA">
    <w:pPr>
      <w:pStyle w:val="Rodap"/>
      <w:pBdr>
        <w:top w:val="single" w:sz="4" w:space="1" w:color="auto"/>
      </w:pBdr>
      <w:tabs>
        <w:tab w:val="clear" w:pos="4419"/>
        <w:tab w:val="clear" w:pos="8838"/>
        <w:tab w:val="right" w:pos="9356"/>
      </w:tabs>
      <w:spacing w:before="240"/>
      <w:jc w:val="both"/>
    </w:pPr>
    <w:r w:rsidRPr="00273AC0">
      <w:t>Atualização MCR nº 7</w:t>
    </w:r>
    <w:r>
      <w:t>12</w:t>
    </w:r>
    <w:r w:rsidRPr="00273AC0">
      <w:t xml:space="preserve">, de </w:t>
    </w:r>
    <w:r w:rsidR="007A147B">
      <w:t xml:space="preserve">5 </w:t>
    </w:r>
    <w:r w:rsidR="00836328" w:rsidRPr="00836328">
      <w:t xml:space="preserve">de </w:t>
    </w:r>
    <w:r>
      <w:t xml:space="preserve">dezembro </w:t>
    </w:r>
    <w:r w:rsidR="00836328" w:rsidRPr="00836328">
      <w:t>de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2CD8" w14:textId="77777777" w:rsidR="00071B99" w:rsidRDefault="00071B99">
      <w:r>
        <w:separator/>
      </w:r>
    </w:p>
  </w:footnote>
  <w:footnote w:type="continuationSeparator" w:id="0">
    <w:p w14:paraId="30423460" w14:textId="77777777" w:rsidR="00071B99" w:rsidRDefault="00071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A4CB" w14:textId="77777777" w:rsidR="007C5EFA" w:rsidRPr="00B107B9" w:rsidRDefault="007C5EFA" w:rsidP="007C5EFA">
    <w:pPr>
      <w:pStyle w:val="Cabealho"/>
      <w:framePr w:wrap="around" w:vAnchor="text" w:hAnchor="margin" w:xAlign="right" w:y="1"/>
      <w:rPr>
        <w:rStyle w:val="Nmerodepgina"/>
      </w:rPr>
    </w:pPr>
    <w:r w:rsidRPr="00B107B9">
      <w:rPr>
        <w:rStyle w:val="Nmerodepgina"/>
      </w:rPr>
      <w:fldChar w:fldCharType="begin"/>
    </w:r>
    <w:r w:rsidRPr="00B107B9">
      <w:rPr>
        <w:rStyle w:val="Nmerodepgina"/>
      </w:rPr>
      <w:instrText xml:space="preserve">PAGE  </w:instrText>
    </w:r>
    <w:r w:rsidRPr="00B107B9">
      <w:rPr>
        <w:rStyle w:val="Nmerodepgina"/>
      </w:rPr>
      <w:fldChar w:fldCharType="separate"/>
    </w:r>
    <w:r w:rsidR="002B3DD9">
      <w:rPr>
        <w:rStyle w:val="Nmerodepgina"/>
        <w:noProof/>
      </w:rPr>
      <w:t>3</w:t>
    </w:r>
    <w:r w:rsidRPr="00B107B9">
      <w:rPr>
        <w:rStyle w:val="Nmerodepgina"/>
      </w:rPr>
      <w:fldChar w:fldCharType="end"/>
    </w:r>
  </w:p>
  <w:p w14:paraId="6730D816" w14:textId="77777777" w:rsidR="007C5EFA" w:rsidRPr="00B107B9" w:rsidRDefault="007C5EFA" w:rsidP="007C5EFA">
    <w:pPr>
      <w:pStyle w:val="Cabealho"/>
      <w:tabs>
        <w:tab w:val="clear" w:pos="4419"/>
        <w:tab w:val="clear" w:pos="8838"/>
        <w:tab w:val="left" w:pos="993"/>
        <w:tab w:val="right" w:pos="9639"/>
      </w:tabs>
      <w:ind w:right="360"/>
    </w:pPr>
    <w:r w:rsidRPr="00B107B9">
      <w:t>TÍTULO</w:t>
    </w:r>
    <w:r w:rsidRPr="00B107B9">
      <w:tab/>
      <w:t>: CRÉDITO RURAL</w:t>
    </w:r>
  </w:p>
  <w:p w14:paraId="57DEA3C0" w14:textId="77777777" w:rsidR="007C5EFA" w:rsidRPr="00B107B9" w:rsidRDefault="007C5EFA" w:rsidP="007C5EFA">
    <w:pPr>
      <w:pStyle w:val="Cabealho"/>
      <w:tabs>
        <w:tab w:val="clear" w:pos="4419"/>
        <w:tab w:val="clear" w:pos="8838"/>
        <w:tab w:val="left" w:pos="993"/>
        <w:tab w:val="right" w:pos="9639"/>
      </w:tabs>
    </w:pPr>
    <w:r w:rsidRPr="00B107B9">
      <w:t>CAPÍTULO</w:t>
    </w:r>
    <w:r w:rsidRPr="00B107B9">
      <w:tab/>
      <w:t>: Recursos - 6</w:t>
    </w:r>
  </w:p>
  <w:p w14:paraId="133CDBD6" w14:textId="7E5428C0" w:rsidR="007C5EFA" w:rsidRPr="00B107B9" w:rsidRDefault="007C5EFA" w:rsidP="007C5EFA">
    <w:pPr>
      <w:pStyle w:val="Cabealho"/>
      <w:tabs>
        <w:tab w:val="clear" w:pos="4419"/>
        <w:tab w:val="clear" w:pos="8838"/>
        <w:tab w:val="left" w:pos="993"/>
        <w:tab w:val="right" w:pos="9923"/>
        <w:tab w:val="right" w:pos="10064"/>
      </w:tabs>
    </w:pPr>
    <w:r w:rsidRPr="00B107B9">
      <w:t>SEÇÃO</w:t>
    </w:r>
    <w:r w:rsidRPr="00B107B9">
      <w:tab/>
      <w:t xml:space="preserve">: </w:t>
    </w:r>
    <w:r w:rsidR="00045025" w:rsidRPr="00045025">
      <w:t>Cálculo e Cobrança de Custo Financeiro por Deficiência no Cumprimento das Exigibilidades</w:t>
    </w:r>
    <w:r w:rsidRPr="00B107B9">
      <w:t xml:space="preserve"> - </w:t>
    </w:r>
    <w:r w:rsidR="00045025">
      <w:t>5</w:t>
    </w:r>
  </w:p>
  <w:p w14:paraId="20CA677A" w14:textId="77777777" w:rsidR="007C5EFA" w:rsidRPr="00B107B9" w:rsidRDefault="007C5EFA" w:rsidP="007C5EFA">
    <w:pPr>
      <w:pStyle w:val="Cabealho"/>
    </w:pPr>
    <w:r w:rsidRPr="00B107B9">
      <w:t>_____________________________________________________________________________________________</w:t>
    </w:r>
  </w:p>
  <w:p w14:paraId="0FF078C8" w14:textId="77777777" w:rsidR="007C5EFA" w:rsidRDefault="007C5E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072"/>
    <w:multiLevelType w:val="hybridMultilevel"/>
    <w:tmpl w:val="45E4C9C6"/>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 w15:restartNumberingAfterBreak="0">
    <w:nsid w:val="2C2C583D"/>
    <w:multiLevelType w:val="hybridMultilevel"/>
    <w:tmpl w:val="E5CC62FC"/>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2" w15:restartNumberingAfterBreak="0">
    <w:nsid w:val="2E4C5B16"/>
    <w:multiLevelType w:val="hybridMultilevel"/>
    <w:tmpl w:val="542694A2"/>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3"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4" w15:restartNumberingAfterBreak="0">
    <w:nsid w:val="352D40D3"/>
    <w:multiLevelType w:val="hybridMultilevel"/>
    <w:tmpl w:val="0FCC6B52"/>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5" w15:restartNumberingAfterBreak="0">
    <w:nsid w:val="4D2F37E3"/>
    <w:multiLevelType w:val="hybridMultilevel"/>
    <w:tmpl w:val="728E4914"/>
    <w:lvl w:ilvl="0" w:tplc="0416000F">
      <w:start w:val="1"/>
      <w:numFmt w:val="decimal"/>
      <w:lvlText w:val="%1."/>
      <w:lvlJc w:val="left"/>
      <w:pPr>
        <w:tabs>
          <w:tab w:val="num" w:pos="1003"/>
        </w:tabs>
        <w:ind w:left="1003" w:hanging="360"/>
      </w:p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6" w15:restartNumberingAfterBreak="0">
    <w:nsid w:val="50242BC5"/>
    <w:multiLevelType w:val="hybridMultilevel"/>
    <w:tmpl w:val="D5F232CE"/>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abstractNum w:abstractNumId="7" w15:restartNumberingAfterBreak="0">
    <w:nsid w:val="57AC284C"/>
    <w:multiLevelType w:val="hybridMultilevel"/>
    <w:tmpl w:val="E6C481B0"/>
    <w:lvl w:ilvl="0" w:tplc="8D100F5C">
      <w:start w:val="1"/>
      <w:numFmt w:val="lowerLetter"/>
      <w:lvlText w:val="%1)"/>
      <w:lvlJc w:val="left"/>
      <w:pPr>
        <w:tabs>
          <w:tab w:val="num" w:pos="643"/>
        </w:tabs>
        <w:ind w:left="643" w:hanging="360"/>
      </w:pPr>
      <w:rPr>
        <w:rFonts w:hint="default"/>
        <w:b w:val="0"/>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8" w15:restartNumberingAfterBreak="0">
    <w:nsid w:val="6C572611"/>
    <w:multiLevelType w:val="hybridMultilevel"/>
    <w:tmpl w:val="26003CC0"/>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9" w15:restartNumberingAfterBreak="0">
    <w:nsid w:val="6EC840E2"/>
    <w:multiLevelType w:val="hybridMultilevel"/>
    <w:tmpl w:val="C108FCF8"/>
    <w:lvl w:ilvl="0" w:tplc="8D100F5C">
      <w:start w:val="1"/>
      <w:numFmt w:val="lowerLetter"/>
      <w:lvlText w:val="%1)"/>
      <w:lvlJc w:val="left"/>
      <w:pPr>
        <w:tabs>
          <w:tab w:val="num" w:pos="643"/>
        </w:tabs>
        <w:ind w:left="643" w:hanging="360"/>
      </w:pPr>
      <w:rPr>
        <w:rFonts w:hint="default"/>
      </w:rPr>
    </w:lvl>
    <w:lvl w:ilvl="1" w:tplc="04160019" w:tentative="1">
      <w:start w:val="1"/>
      <w:numFmt w:val="lowerLetter"/>
      <w:lvlText w:val="%2."/>
      <w:lvlJc w:val="left"/>
      <w:pPr>
        <w:tabs>
          <w:tab w:val="num" w:pos="1363"/>
        </w:tabs>
        <w:ind w:left="1363" w:hanging="360"/>
      </w:pPr>
    </w:lvl>
    <w:lvl w:ilvl="2" w:tplc="0416001B" w:tentative="1">
      <w:start w:val="1"/>
      <w:numFmt w:val="lowerRoman"/>
      <w:lvlText w:val="%3."/>
      <w:lvlJc w:val="right"/>
      <w:pPr>
        <w:tabs>
          <w:tab w:val="num" w:pos="2083"/>
        </w:tabs>
        <w:ind w:left="2083" w:hanging="180"/>
      </w:pPr>
    </w:lvl>
    <w:lvl w:ilvl="3" w:tplc="0416000F" w:tentative="1">
      <w:start w:val="1"/>
      <w:numFmt w:val="decimal"/>
      <w:lvlText w:val="%4."/>
      <w:lvlJc w:val="left"/>
      <w:pPr>
        <w:tabs>
          <w:tab w:val="num" w:pos="2803"/>
        </w:tabs>
        <w:ind w:left="2803" w:hanging="360"/>
      </w:pPr>
    </w:lvl>
    <w:lvl w:ilvl="4" w:tplc="04160019" w:tentative="1">
      <w:start w:val="1"/>
      <w:numFmt w:val="lowerLetter"/>
      <w:lvlText w:val="%5."/>
      <w:lvlJc w:val="left"/>
      <w:pPr>
        <w:tabs>
          <w:tab w:val="num" w:pos="3523"/>
        </w:tabs>
        <w:ind w:left="3523" w:hanging="360"/>
      </w:pPr>
    </w:lvl>
    <w:lvl w:ilvl="5" w:tplc="0416001B" w:tentative="1">
      <w:start w:val="1"/>
      <w:numFmt w:val="lowerRoman"/>
      <w:lvlText w:val="%6."/>
      <w:lvlJc w:val="right"/>
      <w:pPr>
        <w:tabs>
          <w:tab w:val="num" w:pos="4243"/>
        </w:tabs>
        <w:ind w:left="4243" w:hanging="180"/>
      </w:pPr>
    </w:lvl>
    <w:lvl w:ilvl="6" w:tplc="0416000F" w:tentative="1">
      <w:start w:val="1"/>
      <w:numFmt w:val="decimal"/>
      <w:lvlText w:val="%7."/>
      <w:lvlJc w:val="left"/>
      <w:pPr>
        <w:tabs>
          <w:tab w:val="num" w:pos="4963"/>
        </w:tabs>
        <w:ind w:left="4963" w:hanging="360"/>
      </w:pPr>
    </w:lvl>
    <w:lvl w:ilvl="7" w:tplc="04160019" w:tentative="1">
      <w:start w:val="1"/>
      <w:numFmt w:val="lowerLetter"/>
      <w:lvlText w:val="%8."/>
      <w:lvlJc w:val="left"/>
      <w:pPr>
        <w:tabs>
          <w:tab w:val="num" w:pos="5683"/>
        </w:tabs>
        <w:ind w:left="5683" w:hanging="360"/>
      </w:pPr>
    </w:lvl>
    <w:lvl w:ilvl="8" w:tplc="0416001B" w:tentative="1">
      <w:start w:val="1"/>
      <w:numFmt w:val="lowerRoman"/>
      <w:lvlText w:val="%9."/>
      <w:lvlJc w:val="right"/>
      <w:pPr>
        <w:tabs>
          <w:tab w:val="num" w:pos="6403"/>
        </w:tabs>
        <w:ind w:left="6403" w:hanging="180"/>
      </w:pPr>
    </w:lvl>
  </w:abstractNum>
  <w:abstractNum w:abstractNumId="10" w15:restartNumberingAfterBreak="0">
    <w:nsid w:val="706476BF"/>
    <w:multiLevelType w:val="hybridMultilevel"/>
    <w:tmpl w:val="96F49336"/>
    <w:lvl w:ilvl="0" w:tplc="8D100F5C">
      <w:start w:val="1"/>
      <w:numFmt w:val="lowerLetter"/>
      <w:lvlText w:val="%1)"/>
      <w:lvlJc w:val="left"/>
      <w:pPr>
        <w:tabs>
          <w:tab w:val="num" w:pos="926"/>
        </w:tabs>
        <w:ind w:left="926" w:hanging="360"/>
      </w:pPr>
      <w:rPr>
        <w:rFonts w:hint="default"/>
      </w:rPr>
    </w:lvl>
    <w:lvl w:ilvl="1" w:tplc="04160019" w:tentative="1">
      <w:start w:val="1"/>
      <w:numFmt w:val="lowerLetter"/>
      <w:lvlText w:val="%2."/>
      <w:lvlJc w:val="left"/>
      <w:pPr>
        <w:tabs>
          <w:tab w:val="num" w:pos="1723"/>
        </w:tabs>
        <w:ind w:left="1723" w:hanging="360"/>
      </w:pPr>
    </w:lvl>
    <w:lvl w:ilvl="2" w:tplc="0416001B" w:tentative="1">
      <w:start w:val="1"/>
      <w:numFmt w:val="lowerRoman"/>
      <w:lvlText w:val="%3."/>
      <w:lvlJc w:val="right"/>
      <w:pPr>
        <w:tabs>
          <w:tab w:val="num" w:pos="2443"/>
        </w:tabs>
        <w:ind w:left="2443" w:hanging="180"/>
      </w:pPr>
    </w:lvl>
    <w:lvl w:ilvl="3" w:tplc="0416000F" w:tentative="1">
      <w:start w:val="1"/>
      <w:numFmt w:val="decimal"/>
      <w:lvlText w:val="%4."/>
      <w:lvlJc w:val="left"/>
      <w:pPr>
        <w:tabs>
          <w:tab w:val="num" w:pos="3163"/>
        </w:tabs>
        <w:ind w:left="3163" w:hanging="360"/>
      </w:pPr>
    </w:lvl>
    <w:lvl w:ilvl="4" w:tplc="04160019" w:tentative="1">
      <w:start w:val="1"/>
      <w:numFmt w:val="lowerLetter"/>
      <w:lvlText w:val="%5."/>
      <w:lvlJc w:val="left"/>
      <w:pPr>
        <w:tabs>
          <w:tab w:val="num" w:pos="3883"/>
        </w:tabs>
        <w:ind w:left="3883" w:hanging="360"/>
      </w:pPr>
    </w:lvl>
    <w:lvl w:ilvl="5" w:tplc="0416001B" w:tentative="1">
      <w:start w:val="1"/>
      <w:numFmt w:val="lowerRoman"/>
      <w:lvlText w:val="%6."/>
      <w:lvlJc w:val="right"/>
      <w:pPr>
        <w:tabs>
          <w:tab w:val="num" w:pos="4603"/>
        </w:tabs>
        <w:ind w:left="4603" w:hanging="180"/>
      </w:pPr>
    </w:lvl>
    <w:lvl w:ilvl="6" w:tplc="0416000F" w:tentative="1">
      <w:start w:val="1"/>
      <w:numFmt w:val="decimal"/>
      <w:lvlText w:val="%7."/>
      <w:lvlJc w:val="left"/>
      <w:pPr>
        <w:tabs>
          <w:tab w:val="num" w:pos="5323"/>
        </w:tabs>
        <w:ind w:left="5323" w:hanging="360"/>
      </w:pPr>
    </w:lvl>
    <w:lvl w:ilvl="7" w:tplc="04160019" w:tentative="1">
      <w:start w:val="1"/>
      <w:numFmt w:val="lowerLetter"/>
      <w:lvlText w:val="%8."/>
      <w:lvlJc w:val="left"/>
      <w:pPr>
        <w:tabs>
          <w:tab w:val="num" w:pos="6043"/>
        </w:tabs>
        <w:ind w:left="6043" w:hanging="360"/>
      </w:pPr>
    </w:lvl>
    <w:lvl w:ilvl="8" w:tplc="0416001B" w:tentative="1">
      <w:start w:val="1"/>
      <w:numFmt w:val="lowerRoman"/>
      <w:lvlText w:val="%9."/>
      <w:lvlJc w:val="right"/>
      <w:pPr>
        <w:tabs>
          <w:tab w:val="num" w:pos="6763"/>
        </w:tabs>
        <w:ind w:left="6763" w:hanging="180"/>
      </w:pPr>
    </w:lvl>
  </w:abstractNum>
  <w:num w:numId="1" w16cid:durableId="1685210856">
    <w:abstractNumId w:val="3"/>
  </w:num>
  <w:num w:numId="2" w16cid:durableId="451822652">
    <w:abstractNumId w:val="5"/>
  </w:num>
  <w:num w:numId="3" w16cid:durableId="836308150">
    <w:abstractNumId w:val="9"/>
  </w:num>
  <w:num w:numId="4" w16cid:durableId="830222333">
    <w:abstractNumId w:val="1"/>
  </w:num>
  <w:num w:numId="5" w16cid:durableId="272783005">
    <w:abstractNumId w:val="8"/>
  </w:num>
  <w:num w:numId="6" w16cid:durableId="1762287857">
    <w:abstractNumId w:val="10"/>
  </w:num>
  <w:num w:numId="7" w16cid:durableId="1864122944">
    <w:abstractNumId w:val="0"/>
  </w:num>
  <w:num w:numId="8" w16cid:durableId="952328213">
    <w:abstractNumId w:val="2"/>
  </w:num>
  <w:num w:numId="9" w16cid:durableId="322509273">
    <w:abstractNumId w:val="7"/>
  </w:num>
  <w:num w:numId="10" w16cid:durableId="63991691">
    <w:abstractNumId w:val="6"/>
  </w:num>
  <w:num w:numId="11" w16cid:durableId="1501382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20"/>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21FA"/>
    <w:rsid w:val="000010CC"/>
    <w:rsid w:val="000370E2"/>
    <w:rsid w:val="00045025"/>
    <w:rsid w:val="00050E8D"/>
    <w:rsid w:val="00061EA7"/>
    <w:rsid w:val="000646B1"/>
    <w:rsid w:val="0006526A"/>
    <w:rsid w:val="00071B99"/>
    <w:rsid w:val="00072942"/>
    <w:rsid w:val="0007664B"/>
    <w:rsid w:val="000A092B"/>
    <w:rsid w:val="000A7CC0"/>
    <w:rsid w:val="000B5227"/>
    <w:rsid w:val="000B6973"/>
    <w:rsid w:val="000C1E09"/>
    <w:rsid w:val="000D59DE"/>
    <w:rsid w:val="000D5DBE"/>
    <w:rsid w:val="000E434C"/>
    <w:rsid w:val="000E5E8E"/>
    <w:rsid w:val="000E7A40"/>
    <w:rsid w:val="00101B74"/>
    <w:rsid w:val="001061A2"/>
    <w:rsid w:val="00107ACE"/>
    <w:rsid w:val="001341EF"/>
    <w:rsid w:val="0013533E"/>
    <w:rsid w:val="00136F6F"/>
    <w:rsid w:val="00143E49"/>
    <w:rsid w:val="001463CA"/>
    <w:rsid w:val="00151AD9"/>
    <w:rsid w:val="00157640"/>
    <w:rsid w:val="0017768F"/>
    <w:rsid w:val="0018408E"/>
    <w:rsid w:val="00187FC9"/>
    <w:rsid w:val="001B51A3"/>
    <w:rsid w:val="001C4180"/>
    <w:rsid w:val="001D4712"/>
    <w:rsid w:val="001E4851"/>
    <w:rsid w:val="001F662B"/>
    <w:rsid w:val="0023320D"/>
    <w:rsid w:val="00237F06"/>
    <w:rsid w:val="00273AC0"/>
    <w:rsid w:val="002811C7"/>
    <w:rsid w:val="0028489C"/>
    <w:rsid w:val="00287A04"/>
    <w:rsid w:val="00287CDA"/>
    <w:rsid w:val="002A1428"/>
    <w:rsid w:val="002B3DD9"/>
    <w:rsid w:val="002C030E"/>
    <w:rsid w:val="002C1E15"/>
    <w:rsid w:val="002C7BEF"/>
    <w:rsid w:val="002D5095"/>
    <w:rsid w:val="00306558"/>
    <w:rsid w:val="00320E39"/>
    <w:rsid w:val="00330D41"/>
    <w:rsid w:val="00334158"/>
    <w:rsid w:val="003454E2"/>
    <w:rsid w:val="003724AA"/>
    <w:rsid w:val="00375B8E"/>
    <w:rsid w:val="0038779B"/>
    <w:rsid w:val="00391F86"/>
    <w:rsid w:val="00395E7F"/>
    <w:rsid w:val="003A1950"/>
    <w:rsid w:val="003A315A"/>
    <w:rsid w:val="003A3FC7"/>
    <w:rsid w:val="003C049B"/>
    <w:rsid w:val="003D0990"/>
    <w:rsid w:val="003E6DD8"/>
    <w:rsid w:val="00401A20"/>
    <w:rsid w:val="004051B9"/>
    <w:rsid w:val="00415D6C"/>
    <w:rsid w:val="00420650"/>
    <w:rsid w:val="00423532"/>
    <w:rsid w:val="004250D5"/>
    <w:rsid w:val="0044252A"/>
    <w:rsid w:val="00443CBC"/>
    <w:rsid w:val="004525BF"/>
    <w:rsid w:val="004605D4"/>
    <w:rsid w:val="00467F00"/>
    <w:rsid w:val="00471D9D"/>
    <w:rsid w:val="004A17B9"/>
    <w:rsid w:val="004B3DC8"/>
    <w:rsid w:val="004C24E7"/>
    <w:rsid w:val="004C59A8"/>
    <w:rsid w:val="004C5C32"/>
    <w:rsid w:val="004D1CB5"/>
    <w:rsid w:val="004D5DE1"/>
    <w:rsid w:val="004F12E1"/>
    <w:rsid w:val="004F17DE"/>
    <w:rsid w:val="005041F3"/>
    <w:rsid w:val="00510857"/>
    <w:rsid w:val="00510AE2"/>
    <w:rsid w:val="0051135D"/>
    <w:rsid w:val="005147DA"/>
    <w:rsid w:val="00515F52"/>
    <w:rsid w:val="00516414"/>
    <w:rsid w:val="0053091A"/>
    <w:rsid w:val="00534743"/>
    <w:rsid w:val="0053592B"/>
    <w:rsid w:val="00541B84"/>
    <w:rsid w:val="00542A7A"/>
    <w:rsid w:val="005462F9"/>
    <w:rsid w:val="00547218"/>
    <w:rsid w:val="005A51FF"/>
    <w:rsid w:val="005A5617"/>
    <w:rsid w:val="005A6501"/>
    <w:rsid w:val="005B64E9"/>
    <w:rsid w:val="005E1118"/>
    <w:rsid w:val="005F7594"/>
    <w:rsid w:val="00604F79"/>
    <w:rsid w:val="0062326E"/>
    <w:rsid w:val="0062690A"/>
    <w:rsid w:val="006321B4"/>
    <w:rsid w:val="0063398C"/>
    <w:rsid w:val="00640474"/>
    <w:rsid w:val="0064390C"/>
    <w:rsid w:val="00643B95"/>
    <w:rsid w:val="006547DE"/>
    <w:rsid w:val="00655AEF"/>
    <w:rsid w:val="006576F5"/>
    <w:rsid w:val="00685706"/>
    <w:rsid w:val="00687800"/>
    <w:rsid w:val="006A1082"/>
    <w:rsid w:val="006A1915"/>
    <w:rsid w:val="006B2469"/>
    <w:rsid w:val="006B6D7D"/>
    <w:rsid w:val="006C0507"/>
    <w:rsid w:val="006C635F"/>
    <w:rsid w:val="006E1DC0"/>
    <w:rsid w:val="006F5705"/>
    <w:rsid w:val="00702844"/>
    <w:rsid w:val="00714885"/>
    <w:rsid w:val="00715345"/>
    <w:rsid w:val="007236A0"/>
    <w:rsid w:val="00730335"/>
    <w:rsid w:val="00730954"/>
    <w:rsid w:val="00741377"/>
    <w:rsid w:val="00747ACA"/>
    <w:rsid w:val="00754009"/>
    <w:rsid w:val="007678FE"/>
    <w:rsid w:val="0078272B"/>
    <w:rsid w:val="00785074"/>
    <w:rsid w:val="007873D9"/>
    <w:rsid w:val="007A147B"/>
    <w:rsid w:val="007C5EFA"/>
    <w:rsid w:val="007D71B6"/>
    <w:rsid w:val="007E122E"/>
    <w:rsid w:val="007E26B3"/>
    <w:rsid w:val="00802A61"/>
    <w:rsid w:val="00836328"/>
    <w:rsid w:val="008453EA"/>
    <w:rsid w:val="00864F77"/>
    <w:rsid w:val="008A605D"/>
    <w:rsid w:val="008A6A2E"/>
    <w:rsid w:val="008C42E8"/>
    <w:rsid w:val="008C45E5"/>
    <w:rsid w:val="008D3E83"/>
    <w:rsid w:val="008D53F7"/>
    <w:rsid w:val="008D670F"/>
    <w:rsid w:val="008E21FA"/>
    <w:rsid w:val="008F1B4C"/>
    <w:rsid w:val="008F6EB8"/>
    <w:rsid w:val="008F74A3"/>
    <w:rsid w:val="0090262E"/>
    <w:rsid w:val="00911C52"/>
    <w:rsid w:val="00916D9A"/>
    <w:rsid w:val="009170AE"/>
    <w:rsid w:val="0093638F"/>
    <w:rsid w:val="00937BC1"/>
    <w:rsid w:val="009435C4"/>
    <w:rsid w:val="009513CB"/>
    <w:rsid w:val="0095149D"/>
    <w:rsid w:val="00975DBD"/>
    <w:rsid w:val="009905F5"/>
    <w:rsid w:val="009C7A14"/>
    <w:rsid w:val="009E2AEC"/>
    <w:rsid w:val="009E2F7F"/>
    <w:rsid w:val="00A010F0"/>
    <w:rsid w:val="00A06E20"/>
    <w:rsid w:val="00A130D5"/>
    <w:rsid w:val="00A37C6D"/>
    <w:rsid w:val="00A478D4"/>
    <w:rsid w:val="00A47A68"/>
    <w:rsid w:val="00A51E22"/>
    <w:rsid w:val="00A531BA"/>
    <w:rsid w:val="00A62D43"/>
    <w:rsid w:val="00A659D3"/>
    <w:rsid w:val="00A767EB"/>
    <w:rsid w:val="00A8216F"/>
    <w:rsid w:val="00A94376"/>
    <w:rsid w:val="00A97C48"/>
    <w:rsid w:val="00AA3885"/>
    <w:rsid w:val="00AB0A67"/>
    <w:rsid w:val="00AB43F4"/>
    <w:rsid w:val="00AC32FB"/>
    <w:rsid w:val="00AD5EB2"/>
    <w:rsid w:val="00AF204F"/>
    <w:rsid w:val="00AF22B7"/>
    <w:rsid w:val="00AF4247"/>
    <w:rsid w:val="00AF5229"/>
    <w:rsid w:val="00B107B9"/>
    <w:rsid w:val="00B129FB"/>
    <w:rsid w:val="00B1692B"/>
    <w:rsid w:val="00B208DC"/>
    <w:rsid w:val="00B22E00"/>
    <w:rsid w:val="00B27DA8"/>
    <w:rsid w:val="00B332E0"/>
    <w:rsid w:val="00B35B27"/>
    <w:rsid w:val="00B44221"/>
    <w:rsid w:val="00B60800"/>
    <w:rsid w:val="00B70AC7"/>
    <w:rsid w:val="00B73FBC"/>
    <w:rsid w:val="00B848E4"/>
    <w:rsid w:val="00B85F5A"/>
    <w:rsid w:val="00B909FB"/>
    <w:rsid w:val="00BA1D28"/>
    <w:rsid w:val="00BA2DAB"/>
    <w:rsid w:val="00BA3C64"/>
    <w:rsid w:val="00BA5621"/>
    <w:rsid w:val="00BB08E7"/>
    <w:rsid w:val="00BC7567"/>
    <w:rsid w:val="00BD18CA"/>
    <w:rsid w:val="00BD5233"/>
    <w:rsid w:val="00BD53CB"/>
    <w:rsid w:val="00BD603C"/>
    <w:rsid w:val="00BE122E"/>
    <w:rsid w:val="00BE1B5E"/>
    <w:rsid w:val="00BE4238"/>
    <w:rsid w:val="00BF261F"/>
    <w:rsid w:val="00C3654B"/>
    <w:rsid w:val="00C37EBE"/>
    <w:rsid w:val="00C410FD"/>
    <w:rsid w:val="00C4394A"/>
    <w:rsid w:val="00C53C49"/>
    <w:rsid w:val="00C558BB"/>
    <w:rsid w:val="00C55FEA"/>
    <w:rsid w:val="00C57E5A"/>
    <w:rsid w:val="00C940D2"/>
    <w:rsid w:val="00CA10F2"/>
    <w:rsid w:val="00CC7138"/>
    <w:rsid w:val="00CC76B4"/>
    <w:rsid w:val="00CF3EC6"/>
    <w:rsid w:val="00D0045D"/>
    <w:rsid w:val="00D06F36"/>
    <w:rsid w:val="00D33054"/>
    <w:rsid w:val="00D34232"/>
    <w:rsid w:val="00D46D9C"/>
    <w:rsid w:val="00D50C83"/>
    <w:rsid w:val="00D63AE0"/>
    <w:rsid w:val="00D676B4"/>
    <w:rsid w:val="00D733FB"/>
    <w:rsid w:val="00D95E20"/>
    <w:rsid w:val="00D97249"/>
    <w:rsid w:val="00DA05BC"/>
    <w:rsid w:val="00DD1A97"/>
    <w:rsid w:val="00DD4A45"/>
    <w:rsid w:val="00DE3805"/>
    <w:rsid w:val="00DF4D5C"/>
    <w:rsid w:val="00E05839"/>
    <w:rsid w:val="00E27418"/>
    <w:rsid w:val="00E4122D"/>
    <w:rsid w:val="00E565E7"/>
    <w:rsid w:val="00E738D6"/>
    <w:rsid w:val="00E82DB6"/>
    <w:rsid w:val="00E87D6D"/>
    <w:rsid w:val="00E90489"/>
    <w:rsid w:val="00EA19EC"/>
    <w:rsid w:val="00EE1EF9"/>
    <w:rsid w:val="00EF677D"/>
    <w:rsid w:val="00F11B32"/>
    <w:rsid w:val="00F142F5"/>
    <w:rsid w:val="00F50C45"/>
    <w:rsid w:val="00F56FDF"/>
    <w:rsid w:val="00F6369C"/>
    <w:rsid w:val="00F83A91"/>
    <w:rsid w:val="00F877A5"/>
    <w:rsid w:val="00F905CC"/>
    <w:rsid w:val="00F95BC7"/>
    <w:rsid w:val="00F96A99"/>
    <w:rsid w:val="00FA7454"/>
    <w:rsid w:val="00FB2382"/>
    <w:rsid w:val="00FE73F1"/>
    <w:rsid w:val="00FF0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47F5F8CA"/>
  <w15:docId w15:val="{A295AB75-A463-459E-A11C-34113E15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styleId="Recuodecorpodetexto">
    <w:name w:val="Body Text Indent"/>
    <w:basedOn w:val="Normal"/>
    <w:semiHidden/>
    <w:pPr>
      <w:ind w:left="284" w:hanging="284"/>
    </w:pPr>
  </w:style>
  <w:style w:type="paragraph" w:styleId="Recuodecorpodetexto2">
    <w:name w:val="Body Text Indent 2"/>
    <w:basedOn w:val="Normal"/>
    <w:semiHidden/>
    <w:pPr>
      <w:ind w:left="567" w:hanging="283"/>
    </w:pPr>
  </w:style>
  <w:style w:type="paragraph" w:styleId="Recuodecorpodetexto3">
    <w:name w:val="Body Text Indent 3"/>
    <w:basedOn w:val="Normal"/>
    <w:link w:val="Recuodecorpodetexto3Char"/>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fecho">
    <w:name w:val="fecho"/>
    <w:basedOn w:val="Normal"/>
    <w:next w:val="Normal"/>
    <w:pPr>
      <w:tabs>
        <w:tab w:val="left" w:pos="1418"/>
      </w:tabs>
      <w:ind w:left="5103"/>
      <w:jc w:val="both"/>
    </w:pPr>
    <w:rPr>
      <w:sz w:val="24"/>
    </w:rPr>
  </w:style>
  <w:style w:type="character" w:customStyle="1" w:styleId="RodapChar">
    <w:name w:val="Rodapé Char"/>
    <w:basedOn w:val="Fontepargpadro"/>
    <w:link w:val="Rodap"/>
    <w:uiPriority w:val="99"/>
    <w:rsid w:val="00AB43F4"/>
  </w:style>
  <w:style w:type="character" w:customStyle="1" w:styleId="Recuodecorpodetexto3Char">
    <w:name w:val="Recuo de corpo de texto 3 Char"/>
    <w:basedOn w:val="Fontepargpadro"/>
    <w:link w:val="Recuodecorpodetexto3"/>
    <w:semiHidden/>
    <w:rsid w:val="00AB43F4"/>
  </w:style>
  <w:style w:type="paragraph" w:customStyle="1" w:styleId="NormalJustificado">
    <w:name w:val="Normal + Justificado"/>
    <w:basedOn w:val="Normal"/>
    <w:rsid w:val="00E565E7"/>
    <w:rPr>
      <w:rFonts w:eastAsia="P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2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85855-6406-4916-8A4C-25DD5287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721</TotalTime>
  <Pages>2</Pages>
  <Words>1320</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de Mesquita Santos</cp:lastModifiedBy>
  <cp:revision>168</cp:revision>
  <cp:lastPrinted>2015-06-03T17:41:00Z</cp:lastPrinted>
  <dcterms:created xsi:type="dcterms:W3CDTF">2014-07-23T14:30:00Z</dcterms:created>
  <dcterms:modified xsi:type="dcterms:W3CDTF">2022-12-05T10:37:00Z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1909185474</vt:i4>
  </property>
  <property fmtid="{D5CDD505-2E9C-101B-9397-08002B2CF9AE}" pid="3" name="_NewReviewCycle">
    <vt:lpwstr/>
  </property>
  <property fmtid="{D5CDD505-2E9C-101B-9397-08002B2CF9AE}" pid="4" name="_EmailSubject">
    <vt:lpwstr>mcr06-04.doc</vt:lpwstr>
  </property>
  <property fmtid="{D5CDD505-2E9C-101B-9397-08002B2CF9AE}" pid="5" name="_AuthorEmail">
    <vt:lpwstr>valdo.rodrigues@bcb.gov.br</vt:lpwstr>
  </property>
  <property fmtid="{D5CDD505-2E9C-101B-9397-08002B2CF9AE}" pid="6" name="_AuthorEmailDisplayName">
    <vt:lpwstr>Valdo Cesar Duarte Rodrigues</vt:lpwstr>
  </property>
  <property fmtid="{D5CDD505-2E9C-101B-9397-08002B2CF9AE}" pid="7" name="_ReviewingToolsShownOnce">
    <vt:lpwstr/>
  </property>
</Properties>
</file>