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2A99" w14:textId="77777777" w:rsidR="00EB1B3A" w:rsidRPr="00587B6A" w:rsidRDefault="00EB1B3A" w:rsidP="00EB1B3A">
      <w:pPr>
        <w:pStyle w:val="Cabealho"/>
        <w:tabs>
          <w:tab w:val="clear" w:pos="4419"/>
          <w:tab w:val="clear" w:pos="8838"/>
          <w:tab w:val="left" w:pos="993"/>
          <w:tab w:val="right" w:pos="9639"/>
        </w:tabs>
      </w:pPr>
      <w:r w:rsidRPr="00587B6A">
        <w:t>TÍTULO</w:t>
      </w:r>
      <w:r w:rsidRPr="00587B6A">
        <w:tab/>
        <w:t>: CRÉDITO RURAL</w:t>
      </w:r>
      <w:r w:rsidRPr="00587B6A">
        <w:tab/>
      </w:r>
      <w:r w:rsidRPr="00587B6A">
        <w:fldChar w:fldCharType="begin"/>
      </w:r>
      <w:r w:rsidRPr="00587B6A">
        <w:instrText xml:space="preserve"> PAGE  \* MERGEFORMAT </w:instrText>
      </w:r>
      <w:r w:rsidRPr="00587B6A">
        <w:fldChar w:fldCharType="separate"/>
      </w:r>
      <w:r w:rsidR="00126E9B" w:rsidRPr="00587B6A">
        <w:rPr>
          <w:noProof/>
        </w:rPr>
        <w:t>1</w:t>
      </w:r>
      <w:r w:rsidRPr="00587B6A">
        <w:rPr>
          <w:noProof/>
        </w:rPr>
        <w:fldChar w:fldCharType="end"/>
      </w:r>
    </w:p>
    <w:p w14:paraId="3377E562" w14:textId="77777777" w:rsidR="00EB1B3A" w:rsidRPr="00587B6A" w:rsidRDefault="00EB1B3A" w:rsidP="00EB1B3A">
      <w:pPr>
        <w:pStyle w:val="Cabealho"/>
        <w:tabs>
          <w:tab w:val="clear" w:pos="4419"/>
          <w:tab w:val="clear" w:pos="8838"/>
          <w:tab w:val="left" w:pos="993"/>
          <w:tab w:val="right" w:pos="9639"/>
        </w:tabs>
      </w:pPr>
      <w:r w:rsidRPr="00587B6A">
        <w:t>CAPÍTULO</w:t>
      </w:r>
      <w:r w:rsidRPr="00587B6A">
        <w:tab/>
        <w:t>: Recursos - 6</w:t>
      </w:r>
    </w:p>
    <w:p w14:paraId="19A7A41D" w14:textId="13D9FBB4" w:rsidR="00EB1B3A" w:rsidRPr="00587B6A" w:rsidRDefault="00EB1B3A" w:rsidP="00EB1B3A">
      <w:pPr>
        <w:pStyle w:val="Cabealho"/>
        <w:tabs>
          <w:tab w:val="clear" w:pos="4419"/>
          <w:tab w:val="clear" w:pos="8838"/>
          <w:tab w:val="left" w:pos="993"/>
          <w:tab w:val="right" w:pos="9639"/>
          <w:tab w:val="right" w:pos="9923"/>
        </w:tabs>
      </w:pPr>
      <w:r w:rsidRPr="00587B6A">
        <w:t>SEÇÃO</w:t>
      </w:r>
      <w:r w:rsidRPr="00587B6A">
        <w:tab/>
        <w:t xml:space="preserve">: </w:t>
      </w:r>
      <w:r w:rsidR="001B5EA4" w:rsidRPr="00587B6A">
        <w:t>Letra de Crédito do Agronegócio</w:t>
      </w:r>
      <w:r w:rsidR="00E0644C" w:rsidRPr="00587B6A">
        <w:t xml:space="preserve"> (LCA)</w:t>
      </w:r>
      <w:r w:rsidR="001B5EA4" w:rsidRPr="00587B6A">
        <w:t xml:space="preserve"> </w:t>
      </w:r>
      <w:r w:rsidR="00E84364" w:rsidRPr="00587B6A">
        <w:t>-</w:t>
      </w:r>
      <w:r w:rsidRPr="00587B6A">
        <w:t xml:space="preserve"> </w:t>
      </w:r>
      <w:r w:rsidR="001B5EA4" w:rsidRPr="00587B6A">
        <w:t>7</w:t>
      </w:r>
      <w:r w:rsidR="00BF4113" w:rsidRPr="00587B6A">
        <w:tab/>
      </w:r>
      <w:r w:rsidR="00BF4113" w:rsidRPr="00587B6A">
        <w:tab/>
      </w:r>
    </w:p>
    <w:p w14:paraId="4F4FB943" w14:textId="77777777" w:rsidR="00EB1B3A" w:rsidRPr="00587B6A" w:rsidRDefault="00EB1B3A" w:rsidP="00EB1B3A">
      <w:pPr>
        <w:pStyle w:val="Cabealho"/>
        <w:tabs>
          <w:tab w:val="clear" w:pos="4419"/>
          <w:tab w:val="clear" w:pos="8838"/>
          <w:tab w:val="left" w:pos="1134"/>
          <w:tab w:val="right" w:pos="9639"/>
        </w:tabs>
      </w:pPr>
      <w:r w:rsidRPr="00587B6A">
        <w:t>_____________________________________________________________________________________________</w:t>
      </w:r>
    </w:p>
    <w:p w14:paraId="028249F7" w14:textId="0719007E" w:rsidR="00E84364" w:rsidRPr="00587B6A" w:rsidRDefault="00B66A58" w:rsidP="00E84364">
      <w:pPr>
        <w:tabs>
          <w:tab w:val="right" w:pos="9923"/>
        </w:tabs>
        <w:spacing w:before="120" w:after="120"/>
        <w:ind w:left="284" w:hanging="284"/>
        <w:jc w:val="both"/>
        <w:rPr>
          <w:bCs/>
        </w:rPr>
      </w:pPr>
      <w:r w:rsidRPr="00587B6A">
        <w:rPr>
          <w:bCs/>
        </w:rPr>
        <w:t xml:space="preserve">1 - </w:t>
      </w:r>
      <w:r w:rsidR="00E84364" w:rsidRPr="00587B6A">
        <w:rPr>
          <w:bCs/>
        </w:rPr>
        <w:t>As instituições financeiras que captarem recursos por meio da emissão de Letra de Crédito do Agronegócio (LCA), independentemente do lastro utilizado para emissão da letra, devem observar o disposto nesta Seção.</w:t>
      </w:r>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5B5C402D" w14:textId="254702E3" w:rsidR="00E84364" w:rsidRPr="00587B6A" w:rsidRDefault="00E84364" w:rsidP="00BF45DB">
      <w:pPr>
        <w:tabs>
          <w:tab w:val="right" w:pos="9923"/>
        </w:tabs>
        <w:spacing w:before="120" w:after="120"/>
        <w:ind w:left="284" w:hanging="284"/>
        <w:jc w:val="both"/>
        <w:rPr>
          <w:bCs/>
        </w:rPr>
      </w:pPr>
      <w:r w:rsidRPr="00ED735D">
        <w:rPr>
          <w:bCs/>
        </w:rPr>
        <w:t xml:space="preserve">2 - </w:t>
      </w:r>
      <w:r w:rsidR="00E309DC" w:rsidRPr="00ED735D">
        <w:rPr>
          <w:bCs/>
        </w:rPr>
        <w:t>Exigibilidade de direcionamento dos recursos captados por meio da emissão de LCA é o dever que tem a instituição financeira de manter aplicado em operações de crédito rural o valor correspondente a 50% (cinquenta por cento) do valor apurado na forma do item 3.</w:t>
      </w:r>
      <w:r w:rsidR="00BF45DB" w:rsidRPr="00ED735D">
        <w:t xml:space="preserve"> </w:t>
      </w:r>
      <w:r w:rsidR="00BF45DB" w:rsidRPr="00ED735D">
        <w:rPr>
          <w:bCs/>
        </w:rPr>
        <w:t>(</w:t>
      </w:r>
      <w:r w:rsidR="00BF45DB" w:rsidRPr="00ED735D">
        <w:t xml:space="preserve">Res CMN </w:t>
      </w:r>
      <w:r w:rsidR="00E309DC" w:rsidRPr="00ED735D">
        <w:t xml:space="preserve">5.087 </w:t>
      </w:r>
      <w:proofErr w:type="spellStart"/>
      <w:r w:rsidR="00E309DC" w:rsidRPr="00ED735D">
        <w:t>art</w:t>
      </w:r>
      <w:proofErr w:type="spellEnd"/>
      <w:r w:rsidR="00E309DC" w:rsidRPr="00ED735D">
        <w:t xml:space="preserve"> 3º</w:t>
      </w:r>
      <w:r w:rsidR="00BF45DB" w:rsidRPr="00ED735D">
        <w:t>)</w:t>
      </w:r>
      <w:r w:rsidR="00E309DC" w:rsidRPr="00ED735D">
        <w:tab/>
        <w:t>(*)</w:t>
      </w:r>
    </w:p>
    <w:p w14:paraId="7D16E812" w14:textId="70267A5D" w:rsidR="00E84364" w:rsidRPr="00587B6A" w:rsidRDefault="00E84364" w:rsidP="00E84364">
      <w:pPr>
        <w:tabs>
          <w:tab w:val="right" w:pos="9923"/>
        </w:tabs>
        <w:ind w:left="284" w:hanging="284"/>
        <w:jc w:val="both"/>
        <w:rPr>
          <w:bCs/>
        </w:rPr>
      </w:pPr>
      <w:r w:rsidRPr="00587B6A">
        <w:rPr>
          <w:bCs/>
        </w:rPr>
        <w:t>3 - Até 31 de maio de 2021, a base de cálculo do direcionamento dos recursos captados na forma do item 1 corresponde:</w:t>
      </w:r>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72D1F6B1" w14:textId="77777777" w:rsidR="00E84364" w:rsidRPr="00587B6A" w:rsidRDefault="00E84364" w:rsidP="00E84364">
      <w:pPr>
        <w:tabs>
          <w:tab w:val="right" w:pos="9923"/>
        </w:tabs>
        <w:ind w:left="568" w:hanging="284"/>
        <w:jc w:val="both"/>
        <w:rPr>
          <w:bCs/>
        </w:rPr>
      </w:pPr>
      <w:r w:rsidRPr="00587B6A">
        <w:rPr>
          <w:bCs/>
        </w:rPr>
        <w:t>a) para as instituições financeiras com Patrimônio de Referência nível 1 (PR1) médio mensal superior a R$5.000.000.000,00 (cinco bilhões de reais), à média aritmética dos saldos diários das LCA, apurados no período de cálculo de que trata o item 9-“a”;</w:t>
      </w:r>
    </w:p>
    <w:p w14:paraId="7BF1E3C0" w14:textId="77777777" w:rsidR="00E84364" w:rsidRPr="00587B6A" w:rsidRDefault="00E84364" w:rsidP="00E84364">
      <w:pPr>
        <w:tabs>
          <w:tab w:val="right" w:pos="9923"/>
        </w:tabs>
        <w:spacing w:after="120"/>
        <w:ind w:left="568" w:hanging="284"/>
        <w:jc w:val="both"/>
        <w:rPr>
          <w:bCs/>
        </w:rPr>
      </w:pPr>
      <w:r w:rsidRPr="00587B6A">
        <w:rPr>
          <w:bCs/>
        </w:rPr>
        <w:t>b) para as instituições financeiras com PR1 médio mensal igual ou inferior a R$5.000.000.000,00 (cinco bilhões de reais), à média aritmética dos saldos diários das LCA, apurados no período de cálculo de que trata o item 9-“a”, deduzida de R$500.000.000,00 (quinhentos milhões de reais).</w:t>
      </w:r>
    </w:p>
    <w:p w14:paraId="09BB3BE8" w14:textId="6BAFA76B" w:rsidR="00E84364" w:rsidRPr="00587B6A" w:rsidRDefault="00E84364" w:rsidP="00E84364">
      <w:pPr>
        <w:tabs>
          <w:tab w:val="right" w:pos="9923"/>
        </w:tabs>
        <w:ind w:left="284" w:hanging="284"/>
        <w:jc w:val="both"/>
        <w:rPr>
          <w:bCs/>
        </w:rPr>
      </w:pPr>
      <w:r w:rsidRPr="00587B6A">
        <w:rPr>
          <w:bCs/>
        </w:rPr>
        <w:t xml:space="preserve">4 - </w:t>
      </w:r>
      <w:bookmarkStart w:id="0" w:name="_Hlk35627770"/>
      <w:r w:rsidRPr="00587B6A">
        <w:rPr>
          <w:bCs/>
        </w:rPr>
        <w:t>A partir de 1º de junho de 2021, a base de cálculo do direcionamento dos recursos captados na forma do item 1 corresponde:</w:t>
      </w:r>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6EF5F032" w14:textId="77777777" w:rsidR="00E84364" w:rsidRPr="00587B6A" w:rsidRDefault="00E84364" w:rsidP="00E84364">
      <w:pPr>
        <w:tabs>
          <w:tab w:val="right" w:pos="9923"/>
        </w:tabs>
        <w:ind w:left="568" w:hanging="284"/>
        <w:jc w:val="both"/>
        <w:rPr>
          <w:bCs/>
        </w:rPr>
      </w:pPr>
      <w:r w:rsidRPr="00587B6A">
        <w:rPr>
          <w:bCs/>
        </w:rPr>
        <w:t>a) para as instituições financeiras com PR1 médio mensal superior a R$1.500.000.000,00 (um bilhão e quinhentos milhões de reais), à média aritmética dos saldos diários das LCA, apurados no período de cálculo de que trata o item 9-“a”;</w:t>
      </w:r>
    </w:p>
    <w:p w14:paraId="6C0CA1DA" w14:textId="77777777" w:rsidR="00E84364" w:rsidRPr="00587B6A" w:rsidRDefault="00E84364" w:rsidP="00E84364">
      <w:pPr>
        <w:tabs>
          <w:tab w:val="right" w:pos="9923"/>
        </w:tabs>
        <w:spacing w:after="120"/>
        <w:ind w:left="568" w:hanging="284"/>
        <w:jc w:val="both"/>
        <w:rPr>
          <w:bCs/>
        </w:rPr>
      </w:pPr>
      <w:r w:rsidRPr="00587B6A">
        <w:rPr>
          <w:bCs/>
        </w:rPr>
        <w:t>b) para as instituições financeiras com PR1 médio mensal igual ou inferior a R$1.500.000.000,00 (um bilhão e quinhentos milhões de reais), à média aritmética dos saldos diários das LCA, apurados no período de cálculo de que trata o item 9-“a”, deduzida de R$100.000.000,00 (cem milhões de reais).</w:t>
      </w:r>
    </w:p>
    <w:p w14:paraId="3BAA136B" w14:textId="1327E847" w:rsidR="00E84364" w:rsidRPr="00587B6A" w:rsidRDefault="00E84364" w:rsidP="00E84364">
      <w:pPr>
        <w:tabs>
          <w:tab w:val="right" w:pos="9923"/>
        </w:tabs>
        <w:spacing w:after="120"/>
        <w:ind w:left="284" w:hanging="284"/>
        <w:jc w:val="both"/>
        <w:rPr>
          <w:bCs/>
        </w:rPr>
      </w:pPr>
      <w:r w:rsidRPr="00587B6A">
        <w:rPr>
          <w:bCs/>
        </w:rPr>
        <w:t>5 - O período de apuração do PR1 médio mensal, de que tratam os itens 3 e 4, será idêntico ao período de cálculo de que trata o item 9-“a”.</w:t>
      </w:r>
      <w:bookmarkEnd w:id="0"/>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06B7C704" w14:textId="02FC0187" w:rsidR="00E84364" w:rsidRPr="00587B6A" w:rsidRDefault="00E84364" w:rsidP="00E84364">
      <w:pPr>
        <w:tabs>
          <w:tab w:val="right" w:pos="9923"/>
        </w:tabs>
        <w:spacing w:after="120"/>
        <w:ind w:left="284" w:hanging="284"/>
        <w:jc w:val="both"/>
        <w:rPr>
          <w:bCs/>
        </w:rPr>
      </w:pPr>
      <w:r w:rsidRPr="00587B6A">
        <w:rPr>
          <w:bCs/>
        </w:rPr>
        <w:t>6 - A instituição financeira que apurar obrigação de direcionamento igual ou inferior a R$500.000,00 (quinhentos mil reais) fica isenta do cumprimento do direcionamento de aplicação previsto nesta Seção.</w:t>
      </w:r>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78C3288A" w14:textId="488F26CC" w:rsidR="00E309DC" w:rsidRPr="00ED735D" w:rsidRDefault="00E309DC" w:rsidP="00E309DC">
      <w:pPr>
        <w:tabs>
          <w:tab w:val="right" w:pos="9923"/>
        </w:tabs>
        <w:ind w:left="284" w:hanging="284"/>
        <w:jc w:val="both"/>
        <w:rPr>
          <w:bCs/>
        </w:rPr>
      </w:pPr>
      <w:r w:rsidRPr="00ED735D">
        <w:rPr>
          <w:bCs/>
        </w:rPr>
        <w:t xml:space="preserve">7 - Quanto aos recursos apurados na forma do item 2, deve-se observar que: (Res CMN 5.028 </w:t>
      </w:r>
      <w:proofErr w:type="spellStart"/>
      <w:r w:rsidRPr="00ED735D">
        <w:rPr>
          <w:bCs/>
        </w:rPr>
        <w:t>art</w:t>
      </w:r>
      <w:proofErr w:type="spellEnd"/>
      <w:r w:rsidRPr="00ED735D">
        <w:rPr>
          <w:bCs/>
        </w:rPr>
        <w:t xml:space="preserve"> 2º; </w:t>
      </w:r>
      <w:r w:rsidRPr="00ED735D">
        <w:t xml:space="preserve">Res CMN 5.087 </w:t>
      </w:r>
      <w:proofErr w:type="spellStart"/>
      <w:r w:rsidRPr="00ED735D">
        <w:t>art</w:t>
      </w:r>
      <w:proofErr w:type="spellEnd"/>
      <w:r w:rsidRPr="00ED735D">
        <w:t xml:space="preserve"> 3º)</w:t>
      </w:r>
      <w:r w:rsidRPr="00ED735D">
        <w:rPr>
          <w:bCs/>
        </w:rPr>
        <w:tab/>
        <w:t>(*)</w:t>
      </w:r>
    </w:p>
    <w:p w14:paraId="71F72CD1" w14:textId="3F937EA3" w:rsidR="00E309DC" w:rsidRPr="00ED735D" w:rsidRDefault="00E309DC" w:rsidP="00E309DC">
      <w:pPr>
        <w:tabs>
          <w:tab w:val="right" w:pos="9923"/>
        </w:tabs>
        <w:ind w:left="568" w:hanging="284"/>
        <w:jc w:val="both"/>
        <w:rPr>
          <w:bCs/>
        </w:rPr>
      </w:pPr>
      <w:r w:rsidRPr="00ED735D">
        <w:rPr>
          <w:bCs/>
        </w:rPr>
        <w:t>a) no mínimo 50% (cinquenta por cento) devem ser aplicados em operações de crédito rural, sendo que, no caso dos Financiamentos para Garantia de Preços ao Produtor (FGPP), devem ser observadas as condições estabelecidas no MCR 4-1; (</w:t>
      </w:r>
      <w:r w:rsidRPr="00ED735D">
        <w:t xml:space="preserve">Res CMN 5.087 </w:t>
      </w:r>
      <w:proofErr w:type="spellStart"/>
      <w:r w:rsidRPr="00ED735D">
        <w:t>art</w:t>
      </w:r>
      <w:proofErr w:type="spellEnd"/>
      <w:r w:rsidRPr="00ED735D">
        <w:t xml:space="preserve"> 3º)</w:t>
      </w:r>
      <w:r w:rsidRPr="00ED735D">
        <w:rPr>
          <w:bCs/>
        </w:rPr>
        <w:tab/>
        <w:t>(*)</w:t>
      </w:r>
    </w:p>
    <w:p w14:paraId="327F4357" w14:textId="3794129F" w:rsidR="00E309DC" w:rsidRPr="00ED735D" w:rsidRDefault="00E309DC" w:rsidP="00E309DC">
      <w:pPr>
        <w:tabs>
          <w:tab w:val="right" w:pos="9923"/>
        </w:tabs>
        <w:ind w:left="568" w:hanging="284"/>
        <w:jc w:val="both"/>
        <w:rPr>
          <w:bCs/>
        </w:rPr>
      </w:pPr>
      <w:r w:rsidRPr="00ED735D">
        <w:rPr>
          <w:bCs/>
        </w:rPr>
        <w:t xml:space="preserve">b) a título de faculdade, até 50% (cinquenta por cento) podem ser aplicados em: (Res CMN 5.028 </w:t>
      </w:r>
      <w:proofErr w:type="spellStart"/>
      <w:r w:rsidRPr="00ED735D">
        <w:rPr>
          <w:bCs/>
        </w:rPr>
        <w:t>art</w:t>
      </w:r>
      <w:proofErr w:type="spellEnd"/>
      <w:r w:rsidRPr="00ED735D">
        <w:rPr>
          <w:bCs/>
        </w:rPr>
        <w:t xml:space="preserve"> 2º</w:t>
      </w:r>
      <w:r w:rsidRPr="00ED735D">
        <w:t xml:space="preserve">; Res CMN 5.087 </w:t>
      </w:r>
      <w:proofErr w:type="spellStart"/>
      <w:r w:rsidRPr="00ED735D">
        <w:t>art</w:t>
      </w:r>
      <w:proofErr w:type="spellEnd"/>
      <w:r w:rsidRPr="00ED735D">
        <w:t xml:space="preserve"> 3º)</w:t>
      </w:r>
      <w:r w:rsidRPr="00ED735D">
        <w:rPr>
          <w:bCs/>
        </w:rPr>
        <w:tab/>
        <w:t>(*)</w:t>
      </w:r>
    </w:p>
    <w:p w14:paraId="2934E567" w14:textId="1E67EBED" w:rsidR="00D4356B" w:rsidRDefault="00E309DC" w:rsidP="00E309DC">
      <w:pPr>
        <w:tabs>
          <w:tab w:val="right" w:pos="9923"/>
        </w:tabs>
        <w:ind w:left="851" w:hanging="284"/>
        <w:jc w:val="both"/>
        <w:rPr>
          <w:bCs/>
        </w:rPr>
      </w:pPr>
      <w:r w:rsidRPr="00ED735D">
        <w:rPr>
          <w:bCs/>
        </w:rPr>
        <w:t>I - Cédula de Produto Rural (CPR) emitida por produtor rural, inclusive as adquiridas por instituições financeiras de terceiros;</w:t>
      </w:r>
      <w:r w:rsidR="00D4356B">
        <w:rPr>
          <w:bCs/>
        </w:rPr>
        <w:t xml:space="preserve"> </w:t>
      </w:r>
      <w:r w:rsidR="00D4356B" w:rsidRPr="00ED735D">
        <w:rPr>
          <w:bCs/>
        </w:rPr>
        <w:t>(</w:t>
      </w:r>
      <w:r w:rsidR="00D4356B" w:rsidRPr="00ED735D">
        <w:t xml:space="preserve">Res CMN 5.087 </w:t>
      </w:r>
      <w:proofErr w:type="spellStart"/>
      <w:r w:rsidR="00D4356B" w:rsidRPr="00ED735D">
        <w:t>art</w:t>
      </w:r>
      <w:proofErr w:type="spellEnd"/>
      <w:r w:rsidR="00D4356B" w:rsidRPr="00ED735D">
        <w:t xml:space="preserve"> 3º</w:t>
      </w:r>
      <w:r w:rsidR="00D4356B">
        <w:t>)</w:t>
      </w:r>
      <w:r w:rsidR="00D4356B">
        <w:tab/>
        <w:t>(*)</w:t>
      </w:r>
    </w:p>
    <w:p w14:paraId="38B1021E" w14:textId="4F8D72B9" w:rsidR="0040210E" w:rsidRDefault="0040210E" w:rsidP="001E2996">
      <w:pPr>
        <w:tabs>
          <w:tab w:val="right" w:pos="9923"/>
        </w:tabs>
        <w:ind w:left="851" w:hanging="284"/>
        <w:jc w:val="both"/>
        <w:rPr>
          <w:bCs/>
        </w:rPr>
      </w:pPr>
      <w:r w:rsidRPr="0040210E">
        <w:rPr>
          <w:bCs/>
        </w:rPr>
        <w:t xml:space="preserve">II - </w:t>
      </w:r>
      <w:r w:rsidR="00D4356B" w:rsidRPr="00D4356B">
        <w:rPr>
          <w:bCs/>
        </w:rPr>
        <w:t>aquisição de Certificado de Direitos Creditórios do Agronegócio (CDCA) e de Certificado de Recebíveis do Agronegócio (CRA), desde que os direitos creditórios vinculados sejam integralmente originados de negócios em que o produtor rural seja parte direta</w:t>
      </w:r>
      <w:r w:rsidRPr="0040210E">
        <w:rPr>
          <w:bCs/>
        </w:rPr>
        <w:t>;</w:t>
      </w:r>
      <w:r>
        <w:rPr>
          <w:bCs/>
        </w:rPr>
        <w:t xml:space="preserve"> (</w:t>
      </w:r>
      <w:r w:rsidRPr="00E309DC">
        <w:rPr>
          <w:bCs/>
        </w:rPr>
        <w:t xml:space="preserve">Res CMN 5.028 </w:t>
      </w:r>
      <w:proofErr w:type="spellStart"/>
      <w:r w:rsidRPr="00E309DC">
        <w:rPr>
          <w:bCs/>
        </w:rPr>
        <w:t>art</w:t>
      </w:r>
      <w:proofErr w:type="spellEnd"/>
      <w:r w:rsidRPr="00E309DC">
        <w:rPr>
          <w:bCs/>
        </w:rPr>
        <w:t xml:space="preserve"> 2º</w:t>
      </w:r>
      <w:r>
        <w:rPr>
          <w:bCs/>
        </w:rPr>
        <w:t>)</w:t>
      </w:r>
    </w:p>
    <w:p w14:paraId="28E65A7E" w14:textId="4D7911E9" w:rsidR="001E2996" w:rsidRPr="00587B6A" w:rsidRDefault="001E2996" w:rsidP="001E2996">
      <w:pPr>
        <w:tabs>
          <w:tab w:val="right" w:pos="9923"/>
        </w:tabs>
        <w:ind w:left="851" w:hanging="284"/>
        <w:jc w:val="both"/>
        <w:rPr>
          <w:bCs/>
        </w:rPr>
      </w:pPr>
      <w:r w:rsidRPr="00587B6A">
        <w:rPr>
          <w:bCs/>
        </w:rPr>
        <w:t xml:space="preserve">III - aquisição de Certificado de Depósito Agropecuário (CDA) e de </w:t>
      </w:r>
      <w:r w:rsidRPr="00587B6A">
        <w:rPr>
          <w:b/>
        </w:rPr>
        <w:t>Warrant</w:t>
      </w:r>
      <w:r w:rsidRPr="00587B6A">
        <w:rPr>
          <w:bCs/>
        </w:rPr>
        <w:t xml:space="preserve"> Agropecuário (WA), desde que tenham sido emitidos em favor de produtor rural;</w:t>
      </w:r>
      <w:r w:rsidR="00E309DC">
        <w:rPr>
          <w:bCs/>
        </w:rPr>
        <w:t xml:space="preserve"> (</w:t>
      </w:r>
      <w:r w:rsidR="00E309DC" w:rsidRPr="00E309DC">
        <w:rPr>
          <w:bCs/>
        </w:rPr>
        <w:t xml:space="preserve">Res CMN 5.028 </w:t>
      </w:r>
      <w:proofErr w:type="spellStart"/>
      <w:r w:rsidR="00E309DC" w:rsidRPr="00E309DC">
        <w:rPr>
          <w:bCs/>
        </w:rPr>
        <w:t>art</w:t>
      </w:r>
      <w:proofErr w:type="spellEnd"/>
      <w:r w:rsidR="00E309DC" w:rsidRPr="00E309DC">
        <w:rPr>
          <w:bCs/>
        </w:rPr>
        <w:t xml:space="preserve"> 2º</w:t>
      </w:r>
      <w:r w:rsidR="00E309DC">
        <w:rPr>
          <w:bCs/>
        </w:rPr>
        <w:t>)</w:t>
      </w:r>
    </w:p>
    <w:p w14:paraId="110E921B" w14:textId="09BF4BBB" w:rsidR="00E84364" w:rsidRPr="00587B6A" w:rsidRDefault="001E2996" w:rsidP="001E2996">
      <w:pPr>
        <w:tabs>
          <w:tab w:val="right" w:pos="9923"/>
        </w:tabs>
        <w:spacing w:after="120"/>
        <w:ind w:left="851" w:hanging="284"/>
        <w:jc w:val="both"/>
        <w:rPr>
          <w:bCs/>
        </w:rPr>
      </w:pPr>
      <w:r w:rsidRPr="00587B6A">
        <w:rPr>
          <w:bCs/>
        </w:rPr>
        <w:t>IV - quotas de fundos garantidores de operações de crédito com produtores rurais, pelo valor da integralização, desde que as operações de crédito garantidas sejam crédito rural</w:t>
      </w:r>
      <w:r w:rsidR="00587B6A" w:rsidRPr="00587B6A">
        <w:rPr>
          <w:bCs/>
        </w:rPr>
        <w:t>.</w:t>
      </w:r>
      <w:r w:rsidR="00E309DC">
        <w:rPr>
          <w:bCs/>
        </w:rPr>
        <w:t xml:space="preserve"> (</w:t>
      </w:r>
      <w:r w:rsidR="00E309DC" w:rsidRPr="00E309DC">
        <w:rPr>
          <w:bCs/>
        </w:rPr>
        <w:t xml:space="preserve">Res CMN 5.028 </w:t>
      </w:r>
      <w:proofErr w:type="spellStart"/>
      <w:r w:rsidR="00E309DC" w:rsidRPr="00E309DC">
        <w:rPr>
          <w:bCs/>
        </w:rPr>
        <w:t>art</w:t>
      </w:r>
      <w:proofErr w:type="spellEnd"/>
      <w:r w:rsidR="00E309DC" w:rsidRPr="00E309DC">
        <w:rPr>
          <w:bCs/>
        </w:rPr>
        <w:t xml:space="preserve"> 2º</w:t>
      </w:r>
      <w:r w:rsidR="00E309DC">
        <w:rPr>
          <w:bCs/>
        </w:rPr>
        <w:t>)</w:t>
      </w:r>
    </w:p>
    <w:p w14:paraId="4CFC2ED1" w14:textId="50353EB1" w:rsidR="00E309DC" w:rsidRPr="00ED735D" w:rsidRDefault="00E309DC" w:rsidP="00E309DC">
      <w:pPr>
        <w:tabs>
          <w:tab w:val="right" w:pos="9923"/>
        </w:tabs>
        <w:ind w:left="284" w:hanging="284"/>
        <w:jc w:val="both"/>
        <w:rPr>
          <w:bCs/>
        </w:rPr>
      </w:pPr>
      <w:r w:rsidRPr="00ED735D">
        <w:rPr>
          <w:bCs/>
        </w:rPr>
        <w:t>7-A - Quando destinados à contratação de operações de crédito rural, os recursos apurados da forma do item 2 podem ser aplicados em operações contratadas a: (</w:t>
      </w:r>
      <w:r w:rsidRPr="00ED735D">
        <w:t xml:space="preserve">Res CMN 5.087 </w:t>
      </w:r>
      <w:proofErr w:type="spellStart"/>
      <w:r w:rsidRPr="00ED735D">
        <w:t>art</w:t>
      </w:r>
      <w:proofErr w:type="spellEnd"/>
      <w:r w:rsidRPr="00ED735D">
        <w:t xml:space="preserve"> 3º)</w:t>
      </w:r>
      <w:r w:rsidRPr="00ED735D">
        <w:tab/>
        <w:t>(*)</w:t>
      </w:r>
    </w:p>
    <w:p w14:paraId="019CE18B" w14:textId="77777777" w:rsidR="00E309DC" w:rsidRPr="00ED735D" w:rsidRDefault="00E309DC" w:rsidP="00E309DC">
      <w:pPr>
        <w:tabs>
          <w:tab w:val="right" w:pos="9923"/>
        </w:tabs>
        <w:ind w:left="568" w:hanging="284"/>
        <w:jc w:val="both"/>
        <w:rPr>
          <w:bCs/>
        </w:rPr>
      </w:pPr>
      <w:r w:rsidRPr="00ED735D">
        <w:rPr>
          <w:bCs/>
        </w:rPr>
        <w:t>a) taxas livremente pactuadas, hipótese em que devem ser observadas as condições estabelecidas no MCR 6-3; ou</w:t>
      </w:r>
    </w:p>
    <w:p w14:paraId="7A854E42" w14:textId="77777777" w:rsidR="00E309DC" w:rsidRPr="00ED735D" w:rsidRDefault="00E309DC" w:rsidP="00E309DC">
      <w:pPr>
        <w:tabs>
          <w:tab w:val="right" w:pos="9923"/>
        </w:tabs>
        <w:ind w:left="568" w:hanging="284"/>
        <w:jc w:val="both"/>
        <w:rPr>
          <w:bCs/>
        </w:rPr>
      </w:pPr>
      <w:r w:rsidRPr="00ED735D">
        <w:rPr>
          <w:bCs/>
        </w:rPr>
        <w:t>b) taxas controladas, desde que observadas, cumulativamente, as seguintes condições:</w:t>
      </w:r>
    </w:p>
    <w:p w14:paraId="67184617" w14:textId="77777777" w:rsidR="00E309DC" w:rsidRPr="00ED735D" w:rsidRDefault="00E309DC" w:rsidP="00E309DC">
      <w:pPr>
        <w:tabs>
          <w:tab w:val="right" w:pos="9923"/>
        </w:tabs>
        <w:ind w:left="851" w:hanging="284"/>
        <w:jc w:val="both"/>
        <w:rPr>
          <w:bCs/>
        </w:rPr>
      </w:pPr>
      <w:r w:rsidRPr="00ED735D">
        <w:rPr>
          <w:bCs/>
        </w:rPr>
        <w:t>I - trate-se de operação beneficiada com subvenção econômica da União, sob a forma de equalização de encargos financeiros;</w:t>
      </w:r>
    </w:p>
    <w:p w14:paraId="2945DF5C" w14:textId="77777777" w:rsidR="00E309DC" w:rsidRPr="00ED735D" w:rsidRDefault="00E309DC" w:rsidP="00E309DC">
      <w:pPr>
        <w:tabs>
          <w:tab w:val="right" w:pos="9923"/>
        </w:tabs>
        <w:ind w:left="851" w:hanging="284"/>
        <w:jc w:val="both"/>
        <w:rPr>
          <w:bCs/>
        </w:rPr>
      </w:pPr>
      <w:r w:rsidRPr="00ED735D">
        <w:rPr>
          <w:bCs/>
        </w:rPr>
        <w:t>II - a taxa de juros da operação observe a taxa máxima estabelecida na portaria específica de equalização; e</w:t>
      </w:r>
    </w:p>
    <w:p w14:paraId="51125339" w14:textId="470F9669" w:rsidR="00E309DC" w:rsidRDefault="00E309DC" w:rsidP="00E309DC">
      <w:pPr>
        <w:tabs>
          <w:tab w:val="right" w:pos="9923"/>
        </w:tabs>
        <w:spacing w:after="120"/>
        <w:ind w:left="851" w:hanging="284"/>
        <w:jc w:val="both"/>
        <w:rPr>
          <w:bCs/>
        </w:rPr>
      </w:pPr>
      <w:r w:rsidRPr="00ED735D">
        <w:rPr>
          <w:bCs/>
        </w:rPr>
        <w:t>III - as demais condições da operação observem as regras deste Manual aplicáveis a operações contratadas com recursos controlados.</w:t>
      </w:r>
    </w:p>
    <w:p w14:paraId="7707DF29" w14:textId="3E9B19B0" w:rsidR="00E84364" w:rsidRPr="00587B6A" w:rsidRDefault="00E84364" w:rsidP="00E84364">
      <w:pPr>
        <w:tabs>
          <w:tab w:val="right" w:pos="9923"/>
        </w:tabs>
        <w:ind w:left="284" w:hanging="284"/>
        <w:jc w:val="both"/>
        <w:rPr>
          <w:bCs/>
        </w:rPr>
      </w:pPr>
      <w:r w:rsidRPr="00587B6A">
        <w:rPr>
          <w:bCs/>
        </w:rPr>
        <w:t>8 - Os títulos mencionados nos itens 7-“b”-I, 7-“b”-II e 7-“b”-III devem, adicionalmente, cumprir os seguintes requisitos:</w:t>
      </w:r>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0409216F" w14:textId="77777777" w:rsidR="00E84364" w:rsidRPr="00587B6A" w:rsidRDefault="00E84364" w:rsidP="00E84364">
      <w:pPr>
        <w:tabs>
          <w:tab w:val="right" w:pos="9923"/>
        </w:tabs>
        <w:ind w:left="568" w:hanging="284"/>
        <w:jc w:val="both"/>
        <w:rPr>
          <w:bCs/>
        </w:rPr>
      </w:pPr>
      <w:r w:rsidRPr="00587B6A">
        <w:rPr>
          <w:bCs/>
        </w:rPr>
        <w:t>a) ser registrados ou depositados em entidades autorizadas a desempenhar as atividades de registro ou de depósito centralizado de ativos financeiros e de valores mobiliários; e</w:t>
      </w:r>
    </w:p>
    <w:p w14:paraId="6D544469" w14:textId="77777777" w:rsidR="00E84364" w:rsidRPr="00587B6A" w:rsidRDefault="00E84364" w:rsidP="00E84364">
      <w:pPr>
        <w:tabs>
          <w:tab w:val="right" w:pos="9923"/>
        </w:tabs>
        <w:spacing w:after="120"/>
        <w:ind w:left="568" w:hanging="284"/>
        <w:jc w:val="both"/>
        <w:rPr>
          <w:bCs/>
        </w:rPr>
      </w:pPr>
      <w:r w:rsidRPr="00587B6A">
        <w:rPr>
          <w:bCs/>
        </w:rPr>
        <w:lastRenderedPageBreak/>
        <w:t>b) ser custodiados na instituição financeira adquirente.</w:t>
      </w:r>
    </w:p>
    <w:p w14:paraId="54D16CF9" w14:textId="2D656FA7" w:rsidR="00E84364" w:rsidRPr="00587B6A" w:rsidRDefault="00E84364" w:rsidP="00E84364">
      <w:pPr>
        <w:tabs>
          <w:tab w:val="right" w:pos="9923"/>
        </w:tabs>
        <w:ind w:left="284" w:hanging="284"/>
        <w:jc w:val="both"/>
        <w:rPr>
          <w:bCs/>
        </w:rPr>
      </w:pPr>
      <w:r w:rsidRPr="00587B6A">
        <w:rPr>
          <w:bCs/>
        </w:rPr>
        <w:t>9 - Para efeito do direcionamento estabelecido nesta Seção, deve-se observar que:</w:t>
      </w:r>
      <w:r w:rsidR="00BF45DB" w:rsidRPr="00587B6A">
        <w:rPr>
          <w:bCs/>
        </w:rPr>
        <w:t xml:space="preserve"> (</w:t>
      </w:r>
      <w:r w:rsidR="00BF45DB" w:rsidRPr="00587B6A">
        <w:t xml:space="preserve">Res CMN 4.901 </w:t>
      </w:r>
      <w:proofErr w:type="spellStart"/>
      <w:r w:rsidR="00BF45DB" w:rsidRPr="00587B6A">
        <w:t>art</w:t>
      </w:r>
      <w:proofErr w:type="spellEnd"/>
      <w:r w:rsidR="00BF45DB" w:rsidRPr="00587B6A">
        <w:t xml:space="preserve"> 1º)</w:t>
      </w:r>
    </w:p>
    <w:p w14:paraId="014E7DFA" w14:textId="77777777" w:rsidR="00E84364" w:rsidRPr="00587B6A" w:rsidRDefault="00E84364" w:rsidP="00E84364">
      <w:pPr>
        <w:tabs>
          <w:tab w:val="right" w:pos="9923"/>
        </w:tabs>
        <w:ind w:left="568" w:hanging="284"/>
        <w:jc w:val="both"/>
        <w:rPr>
          <w:bCs/>
        </w:rPr>
      </w:pPr>
      <w:r w:rsidRPr="00587B6A">
        <w:rPr>
          <w:bCs/>
        </w:rPr>
        <w:t xml:space="preserve">a) </w:t>
      </w:r>
      <w:r w:rsidRPr="00587B6A">
        <w:t>o período de cálculo tem início no primeiro dia útil do mês de junho e término no último dia útil do mês de maio do ano seguinte, quando devem ser apurados os saldos médios diários relativos aos dias úteis das LCA;</w:t>
      </w:r>
    </w:p>
    <w:p w14:paraId="3B439A6A" w14:textId="77777777" w:rsidR="00E84364" w:rsidRPr="00587B6A" w:rsidRDefault="00E84364" w:rsidP="00E84364">
      <w:pPr>
        <w:tabs>
          <w:tab w:val="right" w:pos="9923"/>
        </w:tabs>
        <w:ind w:left="568" w:hanging="284"/>
        <w:jc w:val="both"/>
        <w:rPr>
          <w:bCs/>
        </w:rPr>
      </w:pPr>
      <w:r w:rsidRPr="00587B6A">
        <w:rPr>
          <w:bCs/>
        </w:rPr>
        <w:t>b) o período de cumprimento é aquele em que devem ser aplicados os recursos apurados na forma da alínea “a”, tendo início no primeiro dia útil do mês de julho e término no último dia útil do mês de junho do ano seguinte;</w:t>
      </w:r>
    </w:p>
    <w:p w14:paraId="2B87AFFF" w14:textId="77777777" w:rsidR="00E84364" w:rsidRPr="00587B6A" w:rsidRDefault="00E84364" w:rsidP="00E84364">
      <w:pPr>
        <w:tabs>
          <w:tab w:val="right" w:pos="9923"/>
        </w:tabs>
        <w:ind w:left="568" w:hanging="284"/>
        <w:jc w:val="both"/>
        <w:rPr>
          <w:bCs/>
        </w:rPr>
      </w:pPr>
      <w:r w:rsidRPr="00587B6A">
        <w:rPr>
          <w:bCs/>
        </w:rPr>
        <w:t>c) o cumprimento do direcionamento é efetivado com base nos saldos médios diários das operações de crédito referidas nesta Seção, relativos aos dias úteis;</w:t>
      </w:r>
    </w:p>
    <w:p w14:paraId="0F77A6A0" w14:textId="77777777" w:rsidR="00E84364" w:rsidRPr="00587B6A" w:rsidRDefault="00E84364" w:rsidP="00E84364">
      <w:pPr>
        <w:tabs>
          <w:tab w:val="right" w:pos="9923"/>
        </w:tabs>
        <w:ind w:left="568" w:hanging="284"/>
        <w:jc w:val="both"/>
        <w:rPr>
          <w:bCs/>
        </w:rPr>
      </w:pPr>
      <w:r w:rsidRPr="00587B6A">
        <w:rPr>
          <w:bCs/>
        </w:rPr>
        <w:t>d) entende-se por deficiência a falta de aplicação, total ou parcial, dos recursos nas condições estabelecidas nesta Seção;</w:t>
      </w:r>
    </w:p>
    <w:p w14:paraId="7C400B8F" w14:textId="77777777" w:rsidR="00E84364" w:rsidRPr="00587B6A" w:rsidRDefault="00E84364" w:rsidP="00E84364">
      <w:pPr>
        <w:tabs>
          <w:tab w:val="right" w:pos="9923"/>
        </w:tabs>
        <w:ind w:left="568" w:hanging="284"/>
        <w:jc w:val="both"/>
        <w:rPr>
          <w:bCs/>
        </w:rPr>
      </w:pPr>
      <w:r w:rsidRPr="00587B6A">
        <w:rPr>
          <w:bCs/>
        </w:rPr>
        <w:t>e) mensalmente, as instituições financeiras devem prestar informações sobre os recursos de que trata esta Seção ao Banco Central do Brasil, na forma estabelecida no Demonstrativo das Exigibilidades e das Aplicações de Crédito Rural, até o dia 20 (vinte) do mês subsequente ao da posição informada, observado o disposto na alínea “f”;</w:t>
      </w:r>
    </w:p>
    <w:p w14:paraId="40085912" w14:textId="77777777" w:rsidR="00E84364" w:rsidRPr="00587B6A" w:rsidRDefault="00E84364" w:rsidP="00E84364">
      <w:pPr>
        <w:tabs>
          <w:tab w:val="right" w:pos="9923"/>
        </w:tabs>
        <w:ind w:left="568" w:hanging="284"/>
        <w:jc w:val="both"/>
        <w:rPr>
          <w:bCs/>
        </w:rPr>
      </w:pPr>
      <w:r w:rsidRPr="00587B6A">
        <w:rPr>
          <w:bCs/>
        </w:rPr>
        <w:t>f) as instituições devem editar, validar e enviar as informações relativas ao cumprimento das exigibilidades de direcionamento de recursos, nos termos estabelecidos no Demonstrativo das Exigibilidades e das Aplicações de Crédito Rural;</w:t>
      </w:r>
    </w:p>
    <w:p w14:paraId="1B4DE594" w14:textId="77777777" w:rsidR="00E84364" w:rsidRPr="00587B6A" w:rsidRDefault="00E84364" w:rsidP="00E84364">
      <w:pPr>
        <w:tabs>
          <w:tab w:val="right" w:pos="9923"/>
        </w:tabs>
        <w:ind w:left="568" w:hanging="284"/>
        <w:jc w:val="both"/>
        <w:rPr>
          <w:bCs/>
        </w:rPr>
      </w:pPr>
      <w:r w:rsidRPr="00587B6A">
        <w:rPr>
          <w:bCs/>
        </w:rPr>
        <w:t>g) a verificação do cumprimento, a cargo do Banco Central do Brasil, deve ser efetivada a partir de 20 de julho de cada ano, sem prejuízo das ações emanadas da área de fiscalização;</w:t>
      </w:r>
    </w:p>
    <w:p w14:paraId="0A86352D" w14:textId="29836576" w:rsidR="001B5EA4" w:rsidRDefault="00E84364" w:rsidP="00E84364">
      <w:pPr>
        <w:tabs>
          <w:tab w:val="right" w:pos="9923"/>
        </w:tabs>
        <w:ind w:left="568" w:hanging="284"/>
        <w:jc w:val="both"/>
        <w:rPr>
          <w:bCs/>
        </w:rPr>
      </w:pPr>
      <w:r w:rsidRPr="00587B6A">
        <w:rPr>
          <w:bCs/>
        </w:rPr>
        <w:t>h) poderá ser computado, para fins de cumprimento do direcionamento de que trata o item 2, o excesso de aplicação na exigibilidade dos recursos obrigatórios apurado ao final do mesmo período de cumprimento.</w:t>
      </w:r>
    </w:p>
    <w:sectPr w:rsidR="001B5EA4" w:rsidSect="00EB1B3A">
      <w:headerReference w:type="even" r:id="rId7"/>
      <w:headerReference w:type="default" r:id="rId8"/>
      <w:footerReference w:type="default" r:id="rId9"/>
      <w:footerReference w:type="first" r:id="rId10"/>
      <w:pgSz w:w="11907" w:h="16840" w:code="9"/>
      <w:pgMar w:top="531" w:right="851" w:bottom="992"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7B00" w14:textId="77777777" w:rsidR="00482954" w:rsidRDefault="00482954">
      <w:r>
        <w:separator/>
      </w:r>
    </w:p>
  </w:endnote>
  <w:endnote w:type="continuationSeparator" w:id="0">
    <w:p w14:paraId="3000AAAF" w14:textId="77777777" w:rsidR="00482954" w:rsidRDefault="004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A0F8" w14:textId="77777777" w:rsidR="00740347" w:rsidRPr="0074247A" w:rsidRDefault="00740347">
    <w:pPr>
      <w:pStyle w:val="TextosemFormatao"/>
      <w:rPr>
        <w:rFonts w:ascii="Times New Roman" w:hAnsi="Times New Roman"/>
      </w:rPr>
    </w:pPr>
    <w:r w:rsidRPr="0074247A">
      <w:rPr>
        <w:rFonts w:ascii="Times New Roman" w:hAnsi="Times New Roman"/>
      </w:rPr>
      <w:t>_____________________________________________________________________________________________</w:t>
    </w:r>
  </w:p>
  <w:p w14:paraId="3A4F127A" w14:textId="5DBBE5C2" w:rsidR="00285972" w:rsidRDefault="00372293" w:rsidP="00372293">
    <w:pPr>
      <w:pStyle w:val="Rodap"/>
    </w:pPr>
    <w:r>
      <w:t>Atualização MCR nº 720, de 19 de julho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D601" w14:textId="77777777" w:rsidR="00EB1B3A" w:rsidRPr="0074247A" w:rsidRDefault="00EB1B3A" w:rsidP="00EB1B3A">
    <w:pPr>
      <w:pStyle w:val="TextosemFormatao"/>
      <w:rPr>
        <w:rFonts w:ascii="Times New Roman" w:hAnsi="Times New Roman"/>
      </w:rPr>
    </w:pPr>
    <w:r w:rsidRPr="0074247A">
      <w:rPr>
        <w:rFonts w:ascii="Times New Roman" w:hAnsi="Times New Roman"/>
      </w:rPr>
      <w:t>_____________________________________________________________________________________________</w:t>
    </w:r>
  </w:p>
  <w:p w14:paraId="1F53A807" w14:textId="19999EEF" w:rsidR="00EB1B3A" w:rsidRDefault="00372293" w:rsidP="00372293">
    <w:pPr>
      <w:pStyle w:val="Rodap"/>
    </w:pPr>
    <w:r>
      <w:t>Atualização MCR nº 720, de 19 de julho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B0CD" w14:textId="77777777" w:rsidR="00482954" w:rsidRDefault="00482954">
      <w:r>
        <w:separator/>
      </w:r>
    </w:p>
  </w:footnote>
  <w:footnote w:type="continuationSeparator" w:id="0">
    <w:p w14:paraId="1A28907F" w14:textId="77777777" w:rsidR="00482954" w:rsidRDefault="004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0695" w14:textId="77777777" w:rsidR="00740347" w:rsidRDefault="0074034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AF5CDF" w14:textId="77777777" w:rsidR="00740347" w:rsidRDefault="0074034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D148" w14:textId="77777777" w:rsidR="00740347" w:rsidRDefault="00740347">
    <w:pPr>
      <w:pStyle w:val="Cabealho"/>
      <w:tabs>
        <w:tab w:val="clear" w:pos="4419"/>
        <w:tab w:val="clear" w:pos="8838"/>
        <w:tab w:val="left" w:pos="993"/>
        <w:tab w:val="right" w:pos="9639"/>
      </w:tabs>
    </w:pPr>
    <w:r>
      <w:t>TÍTULO</w:t>
    </w:r>
    <w:r>
      <w:tab/>
      <w:t>: CRÉDITO RURAL</w:t>
    </w:r>
    <w:r>
      <w:tab/>
    </w:r>
    <w:r w:rsidR="00482954">
      <w:fldChar w:fldCharType="begin"/>
    </w:r>
    <w:r w:rsidR="00482954">
      <w:instrText xml:space="preserve"> PAGE  \* MERGEFORMAT </w:instrText>
    </w:r>
    <w:r w:rsidR="00482954">
      <w:fldChar w:fldCharType="separate"/>
    </w:r>
    <w:r w:rsidR="004A5646">
      <w:rPr>
        <w:noProof/>
      </w:rPr>
      <w:t>2</w:t>
    </w:r>
    <w:r w:rsidR="00482954">
      <w:rPr>
        <w:noProof/>
      </w:rPr>
      <w:fldChar w:fldCharType="end"/>
    </w:r>
  </w:p>
  <w:p w14:paraId="526F89E0" w14:textId="77777777" w:rsidR="00740347" w:rsidRDefault="00740347">
    <w:pPr>
      <w:pStyle w:val="Cabealho"/>
      <w:tabs>
        <w:tab w:val="clear" w:pos="4419"/>
        <w:tab w:val="clear" w:pos="8838"/>
        <w:tab w:val="left" w:pos="993"/>
        <w:tab w:val="right" w:pos="9639"/>
      </w:tabs>
    </w:pPr>
    <w:r>
      <w:t>CAPÍTULO</w:t>
    </w:r>
    <w:r>
      <w:tab/>
      <w:t xml:space="preserve">: </w:t>
    </w:r>
    <w:r w:rsidR="00B66A58" w:rsidRPr="00B66A58">
      <w:t>Recursos - 6</w:t>
    </w:r>
  </w:p>
  <w:p w14:paraId="1C094499" w14:textId="77777777" w:rsidR="00740347" w:rsidRDefault="003A6A33" w:rsidP="00913B58">
    <w:pPr>
      <w:pStyle w:val="Cabealho"/>
      <w:tabs>
        <w:tab w:val="clear" w:pos="4419"/>
        <w:tab w:val="clear" w:pos="8838"/>
        <w:tab w:val="left" w:pos="993"/>
        <w:tab w:val="right" w:pos="9639"/>
        <w:tab w:val="right" w:pos="9923"/>
      </w:tabs>
    </w:pPr>
    <w:r>
      <w:t>SEÇÃO</w:t>
    </w:r>
    <w:r>
      <w:tab/>
      <w:t xml:space="preserve">: </w:t>
    </w:r>
    <w:r w:rsidRPr="001B5EA4">
      <w:t>Letra de Crédito do Agronegócio</w:t>
    </w:r>
    <w:r>
      <w:t xml:space="preserve"> (LCA)</w:t>
    </w:r>
    <w:r w:rsidRPr="001B5EA4">
      <w:t xml:space="preserve"> </w:t>
    </w:r>
    <w:r w:rsidRPr="00B66A58">
      <w:t xml:space="preserve">- </w:t>
    </w:r>
    <w:r>
      <w:t>7</w:t>
    </w:r>
    <w:r w:rsidR="002628DE">
      <w:tab/>
    </w:r>
  </w:p>
  <w:p w14:paraId="2A995C7A" w14:textId="77777777" w:rsidR="00740347" w:rsidRDefault="00740347">
    <w:pPr>
      <w:pStyle w:val="Cabealho"/>
      <w:tabs>
        <w:tab w:val="clear" w:pos="4419"/>
        <w:tab w:val="clear" w:pos="8838"/>
        <w:tab w:val="left" w:pos="1134"/>
        <w:tab w:val="right" w:pos="9639"/>
      </w:tabs>
    </w:pPr>
    <w:r>
      <w:t>_____________________________________________________________________________________________</w:t>
    </w:r>
  </w:p>
  <w:p w14:paraId="587D8551" w14:textId="77777777" w:rsidR="00740347" w:rsidRDefault="00740347">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BC"/>
    <w:multiLevelType w:val="singleLevel"/>
    <w:tmpl w:val="1006378A"/>
    <w:lvl w:ilvl="0">
      <w:start w:val="1"/>
      <w:numFmt w:val="none"/>
      <w:pStyle w:val="Epgrafe"/>
      <w:lvlText w:val="RESOLUÇÃO "/>
      <w:lvlJc w:val="left"/>
      <w:pPr>
        <w:tabs>
          <w:tab w:val="num" w:pos="1800"/>
        </w:tabs>
        <w:ind w:left="0" w:firstLine="0"/>
      </w:pPr>
      <w:rPr>
        <w:rFonts w:ascii="Times New Roman" w:hAnsi="Times New Roman" w:hint="default"/>
        <w:b w:val="0"/>
        <w:i w:val="0"/>
        <w:sz w:val="24"/>
      </w:rPr>
    </w:lvl>
  </w:abstractNum>
  <w:abstractNum w:abstractNumId="1" w15:restartNumberingAfterBreak="0">
    <w:nsid w:val="13294B79"/>
    <w:multiLevelType w:val="hybridMultilevel"/>
    <w:tmpl w:val="30BAB99A"/>
    <w:lvl w:ilvl="0" w:tplc="E28248C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E25783"/>
    <w:multiLevelType w:val="hybridMultilevel"/>
    <w:tmpl w:val="9DBE2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08414B"/>
    <w:multiLevelType w:val="hybridMultilevel"/>
    <w:tmpl w:val="AE52F2F2"/>
    <w:lvl w:ilvl="0" w:tplc="F58218C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23B5A3C"/>
    <w:multiLevelType w:val="hybridMultilevel"/>
    <w:tmpl w:val="B4D27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7" w15:restartNumberingAfterBreak="0">
    <w:nsid w:val="7DCF3203"/>
    <w:multiLevelType w:val="hybridMultilevel"/>
    <w:tmpl w:val="1E7A8644"/>
    <w:lvl w:ilvl="0" w:tplc="E86C30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9D1477"/>
    <w:multiLevelType w:val="hybridMultilevel"/>
    <w:tmpl w:val="AD2AB488"/>
    <w:lvl w:ilvl="0" w:tplc="2C3AFB0A">
      <w:start w:val="2"/>
      <w:numFmt w:val="decimal"/>
      <w:lvlText w:val="%1."/>
      <w:lvlJc w:val="left"/>
      <w:pPr>
        <w:tabs>
          <w:tab w:val="num" w:pos="1418"/>
        </w:tabs>
        <w:ind w:left="0" w:firstLine="0"/>
      </w:pPr>
      <w:rPr>
        <w:rFonts w:hint="default"/>
      </w:rPr>
    </w:lvl>
    <w:lvl w:ilvl="1" w:tplc="8C1C9294">
      <w:start w:val="1"/>
      <w:numFmt w:val="upperRoman"/>
      <w:pStyle w:val="Seo"/>
      <w:lvlText w:val="%2 -"/>
      <w:lvlJc w:val="left"/>
      <w:pPr>
        <w:tabs>
          <w:tab w:val="num" w:pos="570"/>
        </w:tabs>
        <w:ind w:left="1418" w:hanging="338"/>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419720372">
    <w:abstractNumId w:val="6"/>
  </w:num>
  <w:num w:numId="2" w16cid:durableId="1089160085">
    <w:abstractNumId w:val="0"/>
  </w:num>
  <w:num w:numId="3" w16cid:durableId="683554477">
    <w:abstractNumId w:val="2"/>
  </w:num>
  <w:num w:numId="4" w16cid:durableId="278801045">
    <w:abstractNumId w:val="8"/>
  </w:num>
  <w:num w:numId="5" w16cid:durableId="1588348523">
    <w:abstractNumId w:val="3"/>
  </w:num>
  <w:num w:numId="6" w16cid:durableId="1325744134">
    <w:abstractNumId w:val="7"/>
  </w:num>
  <w:num w:numId="7" w16cid:durableId="911155714">
    <w:abstractNumId w:val="4"/>
  </w:num>
  <w:num w:numId="8" w16cid:durableId="73431016">
    <w:abstractNumId w:val="5"/>
  </w:num>
  <w:num w:numId="9" w16cid:durableId="187630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mirrorMargins/>
  <w:proofState w:spelling="clean"/>
  <w:attachedTemplate r:id="rId1"/>
  <w:defaultTabStop w:val="720"/>
  <w:consecutiveHyphenLimit w:val="9"/>
  <w:hyphenationZone w:val="57"/>
  <w:drawingGridHorizontalSpacing w:val="100"/>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F3D"/>
    <w:rsid w:val="00000735"/>
    <w:rsid w:val="00003273"/>
    <w:rsid w:val="00004F05"/>
    <w:rsid w:val="000107CF"/>
    <w:rsid w:val="00012EC8"/>
    <w:rsid w:val="0002067F"/>
    <w:rsid w:val="00033118"/>
    <w:rsid w:val="00037F6C"/>
    <w:rsid w:val="00046349"/>
    <w:rsid w:val="00052579"/>
    <w:rsid w:val="00052FB9"/>
    <w:rsid w:val="000546B5"/>
    <w:rsid w:val="00062852"/>
    <w:rsid w:val="00073783"/>
    <w:rsid w:val="00075CBB"/>
    <w:rsid w:val="00076F3D"/>
    <w:rsid w:val="00080E69"/>
    <w:rsid w:val="000836AA"/>
    <w:rsid w:val="000841ED"/>
    <w:rsid w:val="00086865"/>
    <w:rsid w:val="000922F3"/>
    <w:rsid w:val="00096B19"/>
    <w:rsid w:val="000A170D"/>
    <w:rsid w:val="000A1CB4"/>
    <w:rsid w:val="000A59F1"/>
    <w:rsid w:val="000B0E0B"/>
    <w:rsid w:val="000C4C7E"/>
    <w:rsid w:val="000C51D5"/>
    <w:rsid w:val="000C5E04"/>
    <w:rsid w:val="000D60F5"/>
    <w:rsid w:val="000E2B8F"/>
    <w:rsid w:val="000E338A"/>
    <w:rsid w:val="000E341C"/>
    <w:rsid w:val="000E403F"/>
    <w:rsid w:val="000E4E18"/>
    <w:rsid w:val="000E5528"/>
    <w:rsid w:val="000E5EF6"/>
    <w:rsid w:val="000F1073"/>
    <w:rsid w:val="000F14B9"/>
    <w:rsid w:val="000F63AD"/>
    <w:rsid w:val="001034CB"/>
    <w:rsid w:val="00112EF9"/>
    <w:rsid w:val="00113748"/>
    <w:rsid w:val="001175F8"/>
    <w:rsid w:val="00124BB7"/>
    <w:rsid w:val="00126E9B"/>
    <w:rsid w:val="001274DD"/>
    <w:rsid w:val="00135CC0"/>
    <w:rsid w:val="0014200F"/>
    <w:rsid w:val="001433E0"/>
    <w:rsid w:val="001512D5"/>
    <w:rsid w:val="00151E5D"/>
    <w:rsid w:val="00154EC7"/>
    <w:rsid w:val="001643AE"/>
    <w:rsid w:val="00175D57"/>
    <w:rsid w:val="00186262"/>
    <w:rsid w:val="0019186E"/>
    <w:rsid w:val="00194B9C"/>
    <w:rsid w:val="00197CF2"/>
    <w:rsid w:val="001B0471"/>
    <w:rsid w:val="001B5EA4"/>
    <w:rsid w:val="001B667C"/>
    <w:rsid w:val="001C745C"/>
    <w:rsid w:val="001D5AFF"/>
    <w:rsid w:val="001E2996"/>
    <w:rsid w:val="001E4DF8"/>
    <w:rsid w:val="001F4CD9"/>
    <w:rsid w:val="001F72C1"/>
    <w:rsid w:val="00201983"/>
    <w:rsid w:val="00207853"/>
    <w:rsid w:val="00215114"/>
    <w:rsid w:val="002224DA"/>
    <w:rsid w:val="002236D2"/>
    <w:rsid w:val="00225917"/>
    <w:rsid w:val="00225FA6"/>
    <w:rsid w:val="0023302A"/>
    <w:rsid w:val="00242767"/>
    <w:rsid w:val="0024736C"/>
    <w:rsid w:val="00247DBC"/>
    <w:rsid w:val="002628DE"/>
    <w:rsid w:val="00264997"/>
    <w:rsid w:val="0026636D"/>
    <w:rsid w:val="00285972"/>
    <w:rsid w:val="00293910"/>
    <w:rsid w:val="00296714"/>
    <w:rsid w:val="002977BA"/>
    <w:rsid w:val="002A10C9"/>
    <w:rsid w:val="002A374C"/>
    <w:rsid w:val="002B040C"/>
    <w:rsid w:val="002B3239"/>
    <w:rsid w:val="002B5B1D"/>
    <w:rsid w:val="002C2EDF"/>
    <w:rsid w:val="002C389E"/>
    <w:rsid w:val="002E65B8"/>
    <w:rsid w:val="003149DF"/>
    <w:rsid w:val="003151C1"/>
    <w:rsid w:val="00320723"/>
    <w:rsid w:val="003220B7"/>
    <w:rsid w:val="00330DE6"/>
    <w:rsid w:val="003360AF"/>
    <w:rsid w:val="00340F56"/>
    <w:rsid w:val="00341A7E"/>
    <w:rsid w:val="00341AEE"/>
    <w:rsid w:val="00350426"/>
    <w:rsid w:val="00350C5E"/>
    <w:rsid w:val="00371CAC"/>
    <w:rsid w:val="00372293"/>
    <w:rsid w:val="00374A67"/>
    <w:rsid w:val="00375223"/>
    <w:rsid w:val="00384C7D"/>
    <w:rsid w:val="00392663"/>
    <w:rsid w:val="00393024"/>
    <w:rsid w:val="00393DBF"/>
    <w:rsid w:val="003A3789"/>
    <w:rsid w:val="003A6A33"/>
    <w:rsid w:val="003B37B4"/>
    <w:rsid w:val="003B37C7"/>
    <w:rsid w:val="003B39FC"/>
    <w:rsid w:val="003B3B9B"/>
    <w:rsid w:val="003C3BD7"/>
    <w:rsid w:val="003C4DBC"/>
    <w:rsid w:val="003C6220"/>
    <w:rsid w:val="003D51DC"/>
    <w:rsid w:val="003E0881"/>
    <w:rsid w:val="003E548D"/>
    <w:rsid w:val="003E5620"/>
    <w:rsid w:val="003E6717"/>
    <w:rsid w:val="003F1072"/>
    <w:rsid w:val="00401975"/>
    <w:rsid w:val="0040210E"/>
    <w:rsid w:val="004139F3"/>
    <w:rsid w:val="004165DE"/>
    <w:rsid w:val="0042234D"/>
    <w:rsid w:val="00427FD3"/>
    <w:rsid w:val="004349F2"/>
    <w:rsid w:val="00443124"/>
    <w:rsid w:val="00443D0D"/>
    <w:rsid w:val="00445424"/>
    <w:rsid w:val="004547FC"/>
    <w:rsid w:val="0046121D"/>
    <w:rsid w:val="00465F94"/>
    <w:rsid w:val="00466975"/>
    <w:rsid w:val="00470DCC"/>
    <w:rsid w:val="0047622C"/>
    <w:rsid w:val="00481517"/>
    <w:rsid w:val="00482954"/>
    <w:rsid w:val="00484E98"/>
    <w:rsid w:val="00486468"/>
    <w:rsid w:val="004918E7"/>
    <w:rsid w:val="00491BB1"/>
    <w:rsid w:val="00494F03"/>
    <w:rsid w:val="004A2EC3"/>
    <w:rsid w:val="004A5646"/>
    <w:rsid w:val="004B0545"/>
    <w:rsid w:val="004B0BFB"/>
    <w:rsid w:val="004B5E26"/>
    <w:rsid w:val="004C03E3"/>
    <w:rsid w:val="004C1ED8"/>
    <w:rsid w:val="004C5230"/>
    <w:rsid w:val="004C5233"/>
    <w:rsid w:val="004D69E4"/>
    <w:rsid w:val="004E000F"/>
    <w:rsid w:val="004E1D09"/>
    <w:rsid w:val="004E3711"/>
    <w:rsid w:val="004E663C"/>
    <w:rsid w:val="004F2582"/>
    <w:rsid w:val="004F370E"/>
    <w:rsid w:val="004F7E4D"/>
    <w:rsid w:val="0050005B"/>
    <w:rsid w:val="00501647"/>
    <w:rsid w:val="00514D9B"/>
    <w:rsid w:val="00524163"/>
    <w:rsid w:val="0052766C"/>
    <w:rsid w:val="00531E6B"/>
    <w:rsid w:val="005415B8"/>
    <w:rsid w:val="00541AFE"/>
    <w:rsid w:val="005467C3"/>
    <w:rsid w:val="00546DA2"/>
    <w:rsid w:val="00557B94"/>
    <w:rsid w:val="00562EBF"/>
    <w:rsid w:val="00563CC5"/>
    <w:rsid w:val="00571065"/>
    <w:rsid w:val="0057387D"/>
    <w:rsid w:val="00580173"/>
    <w:rsid w:val="0058477B"/>
    <w:rsid w:val="00586F82"/>
    <w:rsid w:val="00587589"/>
    <w:rsid w:val="00587B6A"/>
    <w:rsid w:val="00590562"/>
    <w:rsid w:val="0059326F"/>
    <w:rsid w:val="0059582C"/>
    <w:rsid w:val="00595DAB"/>
    <w:rsid w:val="005B2CE5"/>
    <w:rsid w:val="005C2502"/>
    <w:rsid w:val="005C417D"/>
    <w:rsid w:val="005C48BF"/>
    <w:rsid w:val="005C5664"/>
    <w:rsid w:val="005C5AD7"/>
    <w:rsid w:val="005C6276"/>
    <w:rsid w:val="005D24DC"/>
    <w:rsid w:val="005D73D1"/>
    <w:rsid w:val="005F0554"/>
    <w:rsid w:val="006071B6"/>
    <w:rsid w:val="00617C3D"/>
    <w:rsid w:val="006211D6"/>
    <w:rsid w:val="006364CA"/>
    <w:rsid w:val="00641D7F"/>
    <w:rsid w:val="00644E5D"/>
    <w:rsid w:val="00646DF7"/>
    <w:rsid w:val="006551CF"/>
    <w:rsid w:val="0065729D"/>
    <w:rsid w:val="0066108F"/>
    <w:rsid w:val="00666686"/>
    <w:rsid w:val="00680615"/>
    <w:rsid w:val="006975F8"/>
    <w:rsid w:val="006A5749"/>
    <w:rsid w:val="006A6D45"/>
    <w:rsid w:val="006A782B"/>
    <w:rsid w:val="006B2FEA"/>
    <w:rsid w:val="006B61CF"/>
    <w:rsid w:val="006B7867"/>
    <w:rsid w:val="006D4DF9"/>
    <w:rsid w:val="006E2048"/>
    <w:rsid w:val="006E4E77"/>
    <w:rsid w:val="006F0F65"/>
    <w:rsid w:val="006F72D6"/>
    <w:rsid w:val="007150E2"/>
    <w:rsid w:val="00725B98"/>
    <w:rsid w:val="0072686C"/>
    <w:rsid w:val="00726C94"/>
    <w:rsid w:val="007332C8"/>
    <w:rsid w:val="00740347"/>
    <w:rsid w:val="00741148"/>
    <w:rsid w:val="0074247A"/>
    <w:rsid w:val="007440FC"/>
    <w:rsid w:val="00744C4A"/>
    <w:rsid w:val="007464B4"/>
    <w:rsid w:val="00752072"/>
    <w:rsid w:val="00760B1B"/>
    <w:rsid w:val="00760DAE"/>
    <w:rsid w:val="00764D1B"/>
    <w:rsid w:val="007739AE"/>
    <w:rsid w:val="00774E06"/>
    <w:rsid w:val="00777302"/>
    <w:rsid w:val="00784587"/>
    <w:rsid w:val="00785FF1"/>
    <w:rsid w:val="007864A0"/>
    <w:rsid w:val="00791241"/>
    <w:rsid w:val="00795BAA"/>
    <w:rsid w:val="007A1E18"/>
    <w:rsid w:val="007A2780"/>
    <w:rsid w:val="007A31BD"/>
    <w:rsid w:val="007A3C42"/>
    <w:rsid w:val="007A5C34"/>
    <w:rsid w:val="007B0337"/>
    <w:rsid w:val="007B5BAB"/>
    <w:rsid w:val="007B7385"/>
    <w:rsid w:val="007E2722"/>
    <w:rsid w:val="007E5DC4"/>
    <w:rsid w:val="007E5EAE"/>
    <w:rsid w:val="007F3BEB"/>
    <w:rsid w:val="007F4E95"/>
    <w:rsid w:val="007F69EC"/>
    <w:rsid w:val="00801726"/>
    <w:rsid w:val="00803591"/>
    <w:rsid w:val="00810142"/>
    <w:rsid w:val="00812DAA"/>
    <w:rsid w:val="008156BE"/>
    <w:rsid w:val="00817C66"/>
    <w:rsid w:val="00820FB1"/>
    <w:rsid w:val="008213DD"/>
    <w:rsid w:val="008241E2"/>
    <w:rsid w:val="00824888"/>
    <w:rsid w:val="008249D5"/>
    <w:rsid w:val="0082543D"/>
    <w:rsid w:val="00830417"/>
    <w:rsid w:val="008402B0"/>
    <w:rsid w:val="00846107"/>
    <w:rsid w:val="00853E36"/>
    <w:rsid w:val="008579A6"/>
    <w:rsid w:val="0086652B"/>
    <w:rsid w:val="008668FD"/>
    <w:rsid w:val="00874904"/>
    <w:rsid w:val="00876BB0"/>
    <w:rsid w:val="00882329"/>
    <w:rsid w:val="008828C6"/>
    <w:rsid w:val="00886A1C"/>
    <w:rsid w:val="00887805"/>
    <w:rsid w:val="0089720B"/>
    <w:rsid w:val="008B09F8"/>
    <w:rsid w:val="008B7B8D"/>
    <w:rsid w:val="008C0D51"/>
    <w:rsid w:val="008C541F"/>
    <w:rsid w:val="008D1F3B"/>
    <w:rsid w:val="008D3B38"/>
    <w:rsid w:val="008E43C0"/>
    <w:rsid w:val="008F749E"/>
    <w:rsid w:val="009053A3"/>
    <w:rsid w:val="00910B5F"/>
    <w:rsid w:val="00912988"/>
    <w:rsid w:val="00912A6A"/>
    <w:rsid w:val="00913B58"/>
    <w:rsid w:val="009229D2"/>
    <w:rsid w:val="009237C4"/>
    <w:rsid w:val="00930A8F"/>
    <w:rsid w:val="00931254"/>
    <w:rsid w:val="009379EC"/>
    <w:rsid w:val="009418E0"/>
    <w:rsid w:val="00941CF0"/>
    <w:rsid w:val="00942343"/>
    <w:rsid w:val="009534CE"/>
    <w:rsid w:val="00954A44"/>
    <w:rsid w:val="009573D8"/>
    <w:rsid w:val="00965493"/>
    <w:rsid w:val="00971A76"/>
    <w:rsid w:val="0097303E"/>
    <w:rsid w:val="00974C31"/>
    <w:rsid w:val="00977D48"/>
    <w:rsid w:val="00980A70"/>
    <w:rsid w:val="00983927"/>
    <w:rsid w:val="00993007"/>
    <w:rsid w:val="009A257E"/>
    <w:rsid w:val="009A2A31"/>
    <w:rsid w:val="009A7BC0"/>
    <w:rsid w:val="009B22D0"/>
    <w:rsid w:val="009B3DFA"/>
    <w:rsid w:val="009C604C"/>
    <w:rsid w:val="009C784A"/>
    <w:rsid w:val="009E47DA"/>
    <w:rsid w:val="009E77E1"/>
    <w:rsid w:val="009F1D4D"/>
    <w:rsid w:val="00A020D7"/>
    <w:rsid w:val="00A03980"/>
    <w:rsid w:val="00A15070"/>
    <w:rsid w:val="00A201B4"/>
    <w:rsid w:val="00A24D2C"/>
    <w:rsid w:val="00A27882"/>
    <w:rsid w:val="00A27BE3"/>
    <w:rsid w:val="00A46A6B"/>
    <w:rsid w:val="00A473EB"/>
    <w:rsid w:val="00A60272"/>
    <w:rsid w:val="00A612D2"/>
    <w:rsid w:val="00A64B3E"/>
    <w:rsid w:val="00A6509F"/>
    <w:rsid w:val="00A73267"/>
    <w:rsid w:val="00A75572"/>
    <w:rsid w:val="00A756E0"/>
    <w:rsid w:val="00A76E24"/>
    <w:rsid w:val="00A82AE1"/>
    <w:rsid w:val="00A82BF3"/>
    <w:rsid w:val="00A84A4A"/>
    <w:rsid w:val="00A8625D"/>
    <w:rsid w:val="00A87B3A"/>
    <w:rsid w:val="00A9452D"/>
    <w:rsid w:val="00AA4844"/>
    <w:rsid w:val="00AB006B"/>
    <w:rsid w:val="00AB2901"/>
    <w:rsid w:val="00AB4EAA"/>
    <w:rsid w:val="00AB4FB3"/>
    <w:rsid w:val="00AD0E9B"/>
    <w:rsid w:val="00AD6FC5"/>
    <w:rsid w:val="00AD774A"/>
    <w:rsid w:val="00B024B6"/>
    <w:rsid w:val="00B121C0"/>
    <w:rsid w:val="00B157E7"/>
    <w:rsid w:val="00B2157E"/>
    <w:rsid w:val="00B21ADA"/>
    <w:rsid w:val="00B45B26"/>
    <w:rsid w:val="00B5487E"/>
    <w:rsid w:val="00B64D7A"/>
    <w:rsid w:val="00B65062"/>
    <w:rsid w:val="00B668D5"/>
    <w:rsid w:val="00B66A58"/>
    <w:rsid w:val="00B67B52"/>
    <w:rsid w:val="00B67C07"/>
    <w:rsid w:val="00B71EB1"/>
    <w:rsid w:val="00B7614E"/>
    <w:rsid w:val="00B84FBC"/>
    <w:rsid w:val="00B86C14"/>
    <w:rsid w:val="00BB020D"/>
    <w:rsid w:val="00BB1B9A"/>
    <w:rsid w:val="00BB2B6E"/>
    <w:rsid w:val="00BC4EC9"/>
    <w:rsid w:val="00BD723B"/>
    <w:rsid w:val="00BE142E"/>
    <w:rsid w:val="00BE3F86"/>
    <w:rsid w:val="00BF2B33"/>
    <w:rsid w:val="00BF4113"/>
    <w:rsid w:val="00BF45DB"/>
    <w:rsid w:val="00C058A3"/>
    <w:rsid w:val="00C061ED"/>
    <w:rsid w:val="00C10718"/>
    <w:rsid w:val="00C20AB5"/>
    <w:rsid w:val="00C245FC"/>
    <w:rsid w:val="00C31511"/>
    <w:rsid w:val="00C3507A"/>
    <w:rsid w:val="00C44346"/>
    <w:rsid w:val="00C52375"/>
    <w:rsid w:val="00C57756"/>
    <w:rsid w:val="00C6639D"/>
    <w:rsid w:val="00C73935"/>
    <w:rsid w:val="00C81F3C"/>
    <w:rsid w:val="00C84A19"/>
    <w:rsid w:val="00C94C30"/>
    <w:rsid w:val="00C97F23"/>
    <w:rsid w:val="00CA00CB"/>
    <w:rsid w:val="00CA76DC"/>
    <w:rsid w:val="00CC243C"/>
    <w:rsid w:val="00CC5FFB"/>
    <w:rsid w:val="00CC7F21"/>
    <w:rsid w:val="00CF2163"/>
    <w:rsid w:val="00D0020A"/>
    <w:rsid w:val="00D00293"/>
    <w:rsid w:val="00D0145C"/>
    <w:rsid w:val="00D019BC"/>
    <w:rsid w:val="00D13A3E"/>
    <w:rsid w:val="00D21489"/>
    <w:rsid w:val="00D25A9F"/>
    <w:rsid w:val="00D263E2"/>
    <w:rsid w:val="00D3293D"/>
    <w:rsid w:val="00D33F2A"/>
    <w:rsid w:val="00D35AB8"/>
    <w:rsid w:val="00D4002A"/>
    <w:rsid w:val="00D415B7"/>
    <w:rsid w:val="00D4356B"/>
    <w:rsid w:val="00D4386B"/>
    <w:rsid w:val="00D57F40"/>
    <w:rsid w:val="00D62A1A"/>
    <w:rsid w:val="00D65B1E"/>
    <w:rsid w:val="00D6768B"/>
    <w:rsid w:val="00D67FCD"/>
    <w:rsid w:val="00D7296C"/>
    <w:rsid w:val="00D73C0D"/>
    <w:rsid w:val="00D77922"/>
    <w:rsid w:val="00D90BEA"/>
    <w:rsid w:val="00DB2618"/>
    <w:rsid w:val="00DB3781"/>
    <w:rsid w:val="00DB693F"/>
    <w:rsid w:val="00DC10D5"/>
    <w:rsid w:val="00DC2D07"/>
    <w:rsid w:val="00DC63CF"/>
    <w:rsid w:val="00DD01E1"/>
    <w:rsid w:val="00DD0787"/>
    <w:rsid w:val="00DD0DAB"/>
    <w:rsid w:val="00DD2C84"/>
    <w:rsid w:val="00DD5D63"/>
    <w:rsid w:val="00DE12D1"/>
    <w:rsid w:val="00DE5E47"/>
    <w:rsid w:val="00DE7DEB"/>
    <w:rsid w:val="00DF0085"/>
    <w:rsid w:val="00DF0C93"/>
    <w:rsid w:val="00DF5610"/>
    <w:rsid w:val="00E029F6"/>
    <w:rsid w:val="00E0644C"/>
    <w:rsid w:val="00E12DFF"/>
    <w:rsid w:val="00E167F5"/>
    <w:rsid w:val="00E16D25"/>
    <w:rsid w:val="00E20037"/>
    <w:rsid w:val="00E309DC"/>
    <w:rsid w:val="00E30CDC"/>
    <w:rsid w:val="00E310A8"/>
    <w:rsid w:val="00E40389"/>
    <w:rsid w:val="00E43E0C"/>
    <w:rsid w:val="00E545E2"/>
    <w:rsid w:val="00E60FC4"/>
    <w:rsid w:val="00E71AED"/>
    <w:rsid w:val="00E73196"/>
    <w:rsid w:val="00E761A8"/>
    <w:rsid w:val="00E81187"/>
    <w:rsid w:val="00E84364"/>
    <w:rsid w:val="00E90141"/>
    <w:rsid w:val="00EA3636"/>
    <w:rsid w:val="00EB0B9C"/>
    <w:rsid w:val="00EB1B3A"/>
    <w:rsid w:val="00EB79E0"/>
    <w:rsid w:val="00EC5274"/>
    <w:rsid w:val="00EC5AAF"/>
    <w:rsid w:val="00EC5F08"/>
    <w:rsid w:val="00ED5ECE"/>
    <w:rsid w:val="00ED735D"/>
    <w:rsid w:val="00EF6A76"/>
    <w:rsid w:val="00F03A9E"/>
    <w:rsid w:val="00F14689"/>
    <w:rsid w:val="00F201B9"/>
    <w:rsid w:val="00F30577"/>
    <w:rsid w:val="00F3097E"/>
    <w:rsid w:val="00F350AC"/>
    <w:rsid w:val="00F410AA"/>
    <w:rsid w:val="00F43F4B"/>
    <w:rsid w:val="00F4682E"/>
    <w:rsid w:val="00F655D0"/>
    <w:rsid w:val="00F70293"/>
    <w:rsid w:val="00F77515"/>
    <w:rsid w:val="00F828CE"/>
    <w:rsid w:val="00F86D1F"/>
    <w:rsid w:val="00F87662"/>
    <w:rsid w:val="00F91FF5"/>
    <w:rsid w:val="00F969E1"/>
    <w:rsid w:val="00F97947"/>
    <w:rsid w:val="00FA1AAC"/>
    <w:rsid w:val="00FA3F0B"/>
    <w:rsid w:val="00FB5AB8"/>
    <w:rsid w:val="00FC1403"/>
    <w:rsid w:val="00FC5621"/>
    <w:rsid w:val="00FD3350"/>
    <w:rsid w:val="00FE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BC07DED"/>
  <w15:docId w15:val="{864BCE2A-8B6E-4C2F-ADE3-F5FBA98A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eastAsia="MS Mincho"/>
      <w:b/>
      <w:bCs/>
      <w:sz w:val="32"/>
    </w:rPr>
  </w:style>
  <w:style w:type="paragraph" w:styleId="Ttulo2">
    <w:name w:val="heading 2"/>
    <w:basedOn w:val="Normal"/>
    <w:next w:val="Normal"/>
    <w:qFormat/>
    <w:pPr>
      <w:keepNext/>
      <w:tabs>
        <w:tab w:val="left" w:pos="1080"/>
        <w:tab w:val="left" w:pos="8789"/>
      </w:tabs>
      <w:autoSpaceDE w:val="0"/>
      <w:autoSpaceDN w:val="0"/>
      <w:adjustRightInd w:val="0"/>
      <w:ind w:left="284"/>
      <w:jc w:val="both"/>
      <w:outlineLvl w:val="1"/>
    </w:pPr>
    <w:rPr>
      <w:b/>
      <w:bCs/>
    </w:rPr>
  </w:style>
  <w:style w:type="paragraph" w:styleId="Ttulo3">
    <w:name w:val="heading 3"/>
    <w:basedOn w:val="Normal"/>
    <w:next w:val="Normal"/>
    <w:qFormat/>
    <w:pPr>
      <w:keepNext/>
      <w:ind w:left="284"/>
      <w:outlineLvl w:val="2"/>
    </w:pPr>
    <w:rPr>
      <w:b/>
      <w:bCs/>
    </w:rPr>
  </w:style>
  <w:style w:type="paragraph" w:styleId="Ttulo4">
    <w:name w:val="heading 4"/>
    <w:basedOn w:val="Normal"/>
    <w:next w:val="Normal"/>
    <w:qFormat/>
    <w:pPr>
      <w:keepNext/>
      <w:outlineLvl w:val="3"/>
    </w:pPr>
    <w:rPr>
      <w:b/>
      <w:bCs/>
      <w:color w:val="000000"/>
    </w:rPr>
  </w:style>
  <w:style w:type="paragraph" w:styleId="Ttulo5">
    <w:name w:val="heading 5"/>
    <w:basedOn w:val="Normal"/>
    <w:next w:val="Normal"/>
    <w:qFormat/>
    <w:pPr>
      <w:keepNext/>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ementa">
    <w:name w:val="ementa"/>
    <w:next w:val="Normal"/>
    <w:autoRedefine/>
    <w:pPr>
      <w:ind w:left="5103"/>
      <w:jc w:val="both"/>
    </w:pPr>
    <w:rPr>
      <w:sz w:val="24"/>
    </w:rPr>
  </w:style>
  <w:style w:type="paragraph" w:customStyle="1" w:styleId="ttulo">
    <w:name w:val="título"/>
    <w:next w:val="ementa"/>
    <w:autoRedefine/>
    <w:pPr>
      <w:jc w:val="center"/>
    </w:pPr>
    <w:rPr>
      <w:smallCaps/>
    </w:rPr>
  </w:style>
  <w:style w:type="paragraph" w:styleId="Ttulo0">
    <w:name w:val="Title"/>
    <w:basedOn w:val="Normal"/>
    <w:qFormat/>
    <w:pPr>
      <w:tabs>
        <w:tab w:val="left" w:pos="1418"/>
        <w:tab w:val="left" w:pos="1701"/>
      </w:tabs>
      <w:jc w:val="center"/>
    </w:pPr>
    <w:rPr>
      <w:sz w:val="24"/>
    </w:rPr>
  </w:style>
  <w:style w:type="paragraph" w:styleId="Recuodecorpodetexto">
    <w:name w:val="Body Text Indent"/>
    <w:basedOn w:val="Normal"/>
    <w:semiHidden/>
    <w:pPr>
      <w:tabs>
        <w:tab w:val="left" w:pos="1418"/>
        <w:tab w:val="left" w:pos="1701"/>
      </w:tabs>
      <w:ind w:left="5103"/>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Ementa0">
    <w:name w:val="Ementa"/>
    <w:basedOn w:val="Normal"/>
    <w:next w:val="Normal"/>
    <w:pPr>
      <w:spacing w:after="360"/>
      <w:ind w:left="5103"/>
      <w:jc w:val="both"/>
    </w:pPr>
    <w:rPr>
      <w:sz w:val="24"/>
    </w:rPr>
  </w:style>
  <w:style w:type="paragraph" w:customStyle="1" w:styleId="Epgrafe">
    <w:name w:val="Epígrafe"/>
    <w:next w:val="Ementa0"/>
    <w:pPr>
      <w:widowControl w:val="0"/>
      <w:numPr>
        <w:numId w:val="2"/>
      </w:numPr>
      <w:tabs>
        <w:tab w:val="clear" w:pos="1800"/>
      </w:tabs>
      <w:spacing w:after="360"/>
      <w:jc w:val="center"/>
      <w:outlineLvl w:val="0"/>
    </w:pPr>
    <w:rPr>
      <w:noProof/>
      <w:sz w:val="24"/>
    </w:rPr>
  </w:style>
  <w:style w:type="paragraph" w:customStyle="1" w:styleId="Linha">
    <w:name w:val="Linha"/>
    <w:basedOn w:val="Normal"/>
    <w:next w:val="Normal"/>
    <w:pPr>
      <w:tabs>
        <w:tab w:val="right" w:leader="underscore" w:pos="10206"/>
      </w:tabs>
      <w:jc w:val="both"/>
    </w:pPr>
    <w:rPr>
      <w:sz w:val="24"/>
    </w:rPr>
  </w:style>
  <w:style w:type="paragraph" w:customStyle="1" w:styleId="Rodap29">
    <w:name w:val="Rodapé29"/>
    <w:basedOn w:val="Normal"/>
    <w:pPr>
      <w:jc w:val="both"/>
    </w:pPr>
    <w:rPr>
      <w:sz w:val="24"/>
    </w:rPr>
  </w:style>
  <w:style w:type="paragraph" w:styleId="Recuodecorpodetexto2">
    <w:name w:val="Body Text Indent 2"/>
    <w:basedOn w:val="Normal"/>
    <w:semiHidden/>
    <w:pPr>
      <w:tabs>
        <w:tab w:val="left" w:pos="1418"/>
      </w:tabs>
      <w:ind w:firstLine="1416"/>
      <w:jc w:val="both"/>
    </w:pPr>
    <w:rPr>
      <w:sz w:val="24"/>
      <w:lang w:val="es-ES_tradnl"/>
    </w:rPr>
  </w:style>
  <w:style w:type="paragraph" w:styleId="Corpodetexto2">
    <w:name w:val="Body Text 2"/>
    <w:basedOn w:val="Normal"/>
    <w:semiHidden/>
    <w:pPr>
      <w:ind w:right="453"/>
      <w:jc w:val="both"/>
    </w:pPr>
    <w:rPr>
      <w:rFonts w:eastAsia="MS Mincho"/>
      <w:sz w:val="24"/>
    </w:rPr>
  </w:style>
  <w:style w:type="paragraph" w:styleId="Recuodecorpodetexto3">
    <w:name w:val="Body Text Indent 3"/>
    <w:basedOn w:val="Normal"/>
    <w:link w:val="Recuodecorpodetexto3Char"/>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3"/>
      </w:numPr>
      <w:suppressLineNumbers/>
      <w:tabs>
        <w:tab w:val="clear" w:pos="1418"/>
        <w:tab w:val="left" w:pos="1701"/>
      </w:tabs>
      <w:spacing w:after="24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texto1">
    <w:name w:val="texto1"/>
    <w:basedOn w:val="Normal"/>
    <w:pPr>
      <w:spacing w:before="100" w:beforeAutospacing="1" w:after="100" w:afterAutospacing="1"/>
    </w:pPr>
    <w:rPr>
      <w:sz w:val="24"/>
      <w:szCs w:val="24"/>
    </w:rPr>
  </w:style>
  <w:style w:type="paragraph" w:styleId="Corpodetexto3">
    <w:name w:val="Body Text 3"/>
    <w:basedOn w:val="Normal"/>
    <w:link w:val="Corpodetexto3Char"/>
    <w:semiHidden/>
    <w:pPr>
      <w:tabs>
        <w:tab w:val="left" w:pos="1260"/>
      </w:tabs>
    </w:pPr>
    <w:rPr>
      <w:color w:val="000000"/>
    </w:rPr>
  </w:style>
  <w:style w:type="paragraph" w:customStyle="1" w:styleId="vocativo">
    <w:name w:val="vocativo"/>
    <w:pPr>
      <w:widowControl w:val="0"/>
      <w:suppressAutoHyphens/>
      <w:spacing w:after="240" w:line="360" w:lineRule="auto"/>
      <w:jc w:val="both"/>
    </w:pPr>
    <w:rPr>
      <w:rFonts w:ascii="Arial" w:hAnsi="Arial"/>
      <w:sz w:val="24"/>
      <w:lang w:eastAsia="ar-SA"/>
    </w:rPr>
  </w:style>
  <w:style w:type="paragraph" w:customStyle="1" w:styleId="Seo">
    <w:name w:val="Seção"/>
    <w:basedOn w:val="Normal"/>
    <w:pPr>
      <w:numPr>
        <w:ilvl w:val="1"/>
        <w:numId w:val="4"/>
      </w:numPr>
      <w:overflowPunct w:val="0"/>
      <w:autoSpaceDE w:val="0"/>
      <w:autoSpaceDN w:val="0"/>
      <w:adjustRightInd w:val="0"/>
      <w:textAlignment w:val="baseline"/>
    </w:pPr>
    <w:rPr>
      <w:rFonts w:ascii="Arial" w:hAnsi="Arial"/>
      <w:sz w:val="24"/>
    </w:rPr>
  </w:style>
  <w:style w:type="paragraph" w:styleId="Textodebalo">
    <w:name w:val="Balloon Text"/>
    <w:basedOn w:val="Normal"/>
    <w:link w:val="TextodebaloChar"/>
    <w:uiPriority w:val="99"/>
    <w:semiHidden/>
    <w:unhideWhenUsed/>
    <w:rsid w:val="00590562"/>
    <w:rPr>
      <w:rFonts w:ascii="Tahoma" w:hAnsi="Tahoma" w:cs="Tahoma"/>
      <w:sz w:val="16"/>
      <w:szCs w:val="16"/>
    </w:rPr>
  </w:style>
  <w:style w:type="character" w:customStyle="1" w:styleId="TextodebaloChar">
    <w:name w:val="Texto de balão Char"/>
    <w:basedOn w:val="Fontepargpadro"/>
    <w:link w:val="Textodebalo"/>
    <w:uiPriority w:val="99"/>
    <w:semiHidden/>
    <w:rsid w:val="00590562"/>
    <w:rPr>
      <w:rFonts w:ascii="Tahoma" w:hAnsi="Tahoma" w:cs="Tahoma"/>
      <w:sz w:val="16"/>
      <w:szCs w:val="16"/>
    </w:rPr>
  </w:style>
  <w:style w:type="character" w:customStyle="1" w:styleId="Recuodecorpodetexto3Char">
    <w:name w:val="Recuo de corpo de texto 3 Char"/>
    <w:basedOn w:val="Fontepargpadro"/>
    <w:link w:val="Recuodecorpodetexto3"/>
    <w:semiHidden/>
    <w:rsid w:val="00587589"/>
  </w:style>
  <w:style w:type="character" w:customStyle="1" w:styleId="Corpodetexto3Char">
    <w:name w:val="Corpo de texto 3 Char"/>
    <w:basedOn w:val="Fontepargpadro"/>
    <w:link w:val="Corpodetexto3"/>
    <w:semiHidden/>
    <w:rsid w:val="002236D2"/>
    <w:rPr>
      <w:color w:val="000000"/>
    </w:rPr>
  </w:style>
  <w:style w:type="paragraph" w:styleId="PargrafodaLista">
    <w:name w:val="List Paragraph"/>
    <w:basedOn w:val="Normal"/>
    <w:uiPriority w:val="34"/>
    <w:qFormat/>
    <w:rsid w:val="00DD5D63"/>
    <w:pPr>
      <w:ind w:left="720"/>
      <w:contextualSpacing/>
    </w:pPr>
  </w:style>
  <w:style w:type="paragraph" w:customStyle="1" w:styleId="NormalJustificado">
    <w:name w:val="Normal + Justificado"/>
    <w:basedOn w:val="Normal"/>
    <w:rsid w:val="00DD5D63"/>
    <w:rPr>
      <w:rFonts w:eastAsia="PMingLiU"/>
      <w:sz w:val="24"/>
      <w:szCs w:val="24"/>
    </w:rPr>
  </w:style>
  <w:style w:type="character" w:customStyle="1" w:styleId="RodapChar">
    <w:name w:val="Rodapé Char"/>
    <w:basedOn w:val="Fontepargpadro"/>
    <w:link w:val="Rodap"/>
    <w:semiHidden/>
    <w:rsid w:val="0037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9491">
      <w:bodyDiv w:val="1"/>
      <w:marLeft w:val="0"/>
      <w:marRight w:val="0"/>
      <w:marTop w:val="0"/>
      <w:marBottom w:val="0"/>
      <w:divBdr>
        <w:top w:val="none" w:sz="0" w:space="0" w:color="auto"/>
        <w:left w:val="none" w:sz="0" w:space="0" w:color="auto"/>
        <w:bottom w:val="none" w:sz="0" w:space="0" w:color="auto"/>
        <w:right w:val="none" w:sz="0" w:space="0" w:color="auto"/>
      </w:divBdr>
    </w:div>
    <w:div w:id="1880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MCR.dot</Template>
  <TotalTime>262</TotalTime>
  <Pages>2</Pages>
  <Words>1052</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98</cp:revision>
  <cp:lastPrinted>2016-06-02T19:49:00Z</cp:lastPrinted>
  <dcterms:created xsi:type="dcterms:W3CDTF">2016-06-10T12:52:00Z</dcterms:created>
  <dcterms:modified xsi:type="dcterms:W3CDTF">2023-11-07T15:14:00Z</dcterms:modified>
</cp:coreProperties>
</file>