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E9280" w14:textId="77777777" w:rsidR="00DC02EC" w:rsidRPr="00A13F6F" w:rsidRDefault="00DC02EC" w:rsidP="00DC02EC">
      <w:pPr>
        <w:pStyle w:val="Cabealho"/>
        <w:tabs>
          <w:tab w:val="clear" w:pos="4419"/>
          <w:tab w:val="clear" w:pos="8838"/>
          <w:tab w:val="left" w:pos="993"/>
          <w:tab w:val="right" w:pos="9639"/>
        </w:tabs>
      </w:pPr>
      <w:r w:rsidRPr="00A13F6F">
        <w:t>TÍTULO</w:t>
      </w:r>
      <w:r w:rsidRPr="00A13F6F">
        <w:tab/>
        <w:t>: CRÉDITO RURAL</w:t>
      </w:r>
      <w:r w:rsidRPr="00A13F6F">
        <w:tab/>
      </w:r>
      <w:r w:rsidRPr="00A13F6F">
        <w:fldChar w:fldCharType="begin"/>
      </w:r>
      <w:r w:rsidRPr="00A13F6F">
        <w:instrText xml:space="preserve"> PAGE  \* MERGEFORMAT </w:instrText>
      </w:r>
      <w:r w:rsidRPr="00A13F6F">
        <w:fldChar w:fldCharType="separate"/>
      </w:r>
      <w:r w:rsidRPr="00A13F6F">
        <w:rPr>
          <w:noProof/>
        </w:rPr>
        <w:t>1</w:t>
      </w:r>
      <w:r w:rsidRPr="00A13F6F">
        <w:rPr>
          <w:noProof/>
        </w:rPr>
        <w:fldChar w:fldCharType="end"/>
      </w:r>
    </w:p>
    <w:p w14:paraId="7F170586" w14:textId="0A4DC1A7" w:rsidR="00DC02EC" w:rsidRPr="00A13F6F" w:rsidRDefault="00DC02EC" w:rsidP="00DC02EC">
      <w:pPr>
        <w:pStyle w:val="Cabealho"/>
        <w:tabs>
          <w:tab w:val="clear" w:pos="4419"/>
          <w:tab w:val="clear" w:pos="8838"/>
          <w:tab w:val="left" w:pos="993"/>
          <w:tab w:val="right" w:pos="9639"/>
        </w:tabs>
      </w:pPr>
      <w:r w:rsidRPr="00A13F6F">
        <w:t>CAPÍTULO</w:t>
      </w:r>
      <w:r w:rsidRPr="00A13F6F">
        <w:tab/>
        <w:t>: Programa de Garantia da Atividade Agropecuária (</w:t>
      </w:r>
      <w:proofErr w:type="spellStart"/>
      <w:r w:rsidRPr="00A13F6F">
        <w:t>Proagro</w:t>
      </w:r>
      <w:proofErr w:type="spellEnd"/>
      <w:r w:rsidRPr="00A13F6F">
        <w:t>) - 1</w:t>
      </w:r>
      <w:r w:rsidR="005849A5">
        <w:t>2</w:t>
      </w:r>
    </w:p>
    <w:p w14:paraId="313BDB65" w14:textId="41D8E079" w:rsidR="00DC02EC" w:rsidRPr="00A13F6F" w:rsidRDefault="00DC02EC" w:rsidP="00DC02EC">
      <w:pPr>
        <w:pStyle w:val="Cabealho"/>
        <w:tabs>
          <w:tab w:val="clear" w:pos="4419"/>
          <w:tab w:val="clear" w:pos="8838"/>
          <w:tab w:val="left" w:pos="993"/>
          <w:tab w:val="right" w:pos="9639"/>
          <w:tab w:val="right" w:pos="9923"/>
        </w:tabs>
      </w:pPr>
      <w:r w:rsidRPr="00A13F6F">
        <w:t>SEÇÃO</w:t>
      </w:r>
      <w:r w:rsidRPr="00A13F6F">
        <w:tab/>
        <w:t xml:space="preserve">: Despesas </w:t>
      </w:r>
      <w:r w:rsidR="00E2121C">
        <w:t>-</w:t>
      </w:r>
      <w:r w:rsidRPr="00A13F6F">
        <w:t xml:space="preserve"> 7</w:t>
      </w:r>
      <w:r w:rsidR="004C0C82">
        <w:tab/>
        <w:t>(*)</w:t>
      </w:r>
    </w:p>
    <w:p w14:paraId="605C72F4" w14:textId="77777777" w:rsidR="00DC02EC" w:rsidRPr="00A13F6F" w:rsidRDefault="00DC02EC" w:rsidP="00DC02EC">
      <w:pPr>
        <w:pStyle w:val="Cabealho"/>
        <w:tabs>
          <w:tab w:val="clear" w:pos="4419"/>
          <w:tab w:val="clear" w:pos="8838"/>
          <w:tab w:val="left" w:pos="1134"/>
          <w:tab w:val="right" w:pos="9639"/>
        </w:tabs>
      </w:pPr>
      <w:r w:rsidRPr="00A13F6F">
        <w:t>_____________________________________________________________________________________________</w:t>
      </w:r>
    </w:p>
    <w:p w14:paraId="55B2DC7F" w14:textId="77777777" w:rsidR="00DC02EC" w:rsidRPr="00A13F6F" w:rsidRDefault="00DC02EC" w:rsidP="00DC02EC">
      <w:pPr>
        <w:tabs>
          <w:tab w:val="right" w:pos="9923"/>
        </w:tabs>
        <w:jc w:val="both"/>
        <w:rPr>
          <w:bCs/>
          <w:color w:val="000000"/>
        </w:rPr>
      </w:pPr>
    </w:p>
    <w:p w14:paraId="27879CBC" w14:textId="77777777" w:rsidR="004743E8" w:rsidRPr="00D0101B" w:rsidRDefault="00FF45CA" w:rsidP="004743E8">
      <w:pPr>
        <w:tabs>
          <w:tab w:val="right" w:pos="9923"/>
        </w:tabs>
        <w:ind w:left="284" w:hanging="284"/>
        <w:jc w:val="both"/>
        <w:rPr>
          <w:bCs/>
          <w:color w:val="000000"/>
        </w:rPr>
      </w:pPr>
      <w:r w:rsidRPr="00D0101B">
        <w:rPr>
          <w:bCs/>
          <w:color w:val="000000"/>
        </w:rPr>
        <w:t xml:space="preserve">1 - </w:t>
      </w:r>
      <w:r w:rsidR="004743E8" w:rsidRPr="00D0101B">
        <w:rPr>
          <w:bCs/>
          <w:color w:val="000000"/>
        </w:rPr>
        <w:t>São imputáveis ao Programa de Garantia da Atividade Agropecuária (</w:t>
      </w:r>
      <w:proofErr w:type="spellStart"/>
      <w:r w:rsidR="004743E8" w:rsidRPr="00D0101B">
        <w:rPr>
          <w:bCs/>
          <w:color w:val="000000"/>
        </w:rPr>
        <w:t>Proagro</w:t>
      </w:r>
      <w:proofErr w:type="spellEnd"/>
      <w:r w:rsidR="004743E8" w:rsidRPr="00D0101B">
        <w:rPr>
          <w:bCs/>
          <w:color w:val="000000"/>
        </w:rPr>
        <w:t xml:space="preserve">) as despesas abaixo relacionadas e outras que venham a ser estabelecidas pelo Conselho Monetário Nacional: </w:t>
      </w:r>
    </w:p>
    <w:p w14:paraId="18948E06" w14:textId="77777777" w:rsidR="004743E8" w:rsidRPr="004743E8" w:rsidRDefault="004743E8" w:rsidP="004743E8">
      <w:pPr>
        <w:tabs>
          <w:tab w:val="right" w:pos="9923"/>
        </w:tabs>
        <w:ind w:left="568" w:hanging="284"/>
        <w:jc w:val="both"/>
        <w:rPr>
          <w:bCs/>
          <w:color w:val="000000"/>
        </w:rPr>
      </w:pPr>
      <w:r w:rsidRPr="004743E8">
        <w:rPr>
          <w:bCs/>
          <w:color w:val="000000"/>
        </w:rPr>
        <w:t>a) a remuneração do agente do programa, no valor de R$270,00 (duzentos e setenta reais) por pedido de cobertura deferido ou indeferido;</w:t>
      </w:r>
    </w:p>
    <w:p w14:paraId="161938BA" w14:textId="77777777" w:rsidR="004743E8" w:rsidRPr="004743E8" w:rsidRDefault="004743E8" w:rsidP="004743E8">
      <w:pPr>
        <w:tabs>
          <w:tab w:val="right" w:pos="9923"/>
        </w:tabs>
        <w:ind w:left="568" w:hanging="284"/>
        <w:jc w:val="both"/>
        <w:rPr>
          <w:bCs/>
          <w:color w:val="000000"/>
        </w:rPr>
      </w:pPr>
      <w:r w:rsidRPr="004743E8">
        <w:rPr>
          <w:bCs/>
          <w:color w:val="000000"/>
        </w:rPr>
        <w:t xml:space="preserve">b) a remuneração pelos serviços de comprovação de perdas; </w:t>
      </w:r>
    </w:p>
    <w:p w14:paraId="60A1E20E" w14:textId="77777777" w:rsidR="004743E8" w:rsidRPr="004743E8" w:rsidRDefault="004743E8" w:rsidP="004743E8">
      <w:pPr>
        <w:tabs>
          <w:tab w:val="right" w:pos="9923"/>
        </w:tabs>
        <w:ind w:left="568" w:hanging="284"/>
        <w:jc w:val="both"/>
        <w:rPr>
          <w:bCs/>
          <w:color w:val="000000"/>
        </w:rPr>
      </w:pPr>
      <w:r w:rsidRPr="004743E8">
        <w:rPr>
          <w:bCs/>
          <w:color w:val="000000"/>
        </w:rPr>
        <w:t xml:space="preserve">c) a cobertura; </w:t>
      </w:r>
    </w:p>
    <w:p w14:paraId="3D6A0C8D" w14:textId="77777777" w:rsidR="004743E8" w:rsidRPr="004743E8" w:rsidRDefault="004743E8" w:rsidP="004743E8">
      <w:pPr>
        <w:tabs>
          <w:tab w:val="right" w:pos="9923"/>
        </w:tabs>
        <w:ind w:left="568" w:hanging="284"/>
        <w:jc w:val="both"/>
        <w:rPr>
          <w:bCs/>
          <w:color w:val="000000"/>
        </w:rPr>
      </w:pPr>
      <w:r w:rsidRPr="004743E8">
        <w:rPr>
          <w:bCs/>
          <w:color w:val="000000"/>
        </w:rPr>
        <w:t xml:space="preserve">d) os gastos relativos a serviços de cálculos atuariais para o programa, desenvolvimento de pesquisas, ferramentas e ações de gestão de risco e de supervisão pelos órgãos de gestão e controle do programa. </w:t>
      </w:r>
    </w:p>
    <w:p w14:paraId="2870526B"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2 - As despesas com comprovação de perdas compreendem: </w:t>
      </w:r>
    </w:p>
    <w:p w14:paraId="78169A80" w14:textId="77777777" w:rsidR="004743E8" w:rsidRPr="004743E8" w:rsidRDefault="004743E8" w:rsidP="004743E8">
      <w:pPr>
        <w:tabs>
          <w:tab w:val="right" w:pos="9923"/>
        </w:tabs>
        <w:ind w:left="568" w:hanging="284"/>
        <w:jc w:val="both"/>
        <w:rPr>
          <w:bCs/>
          <w:color w:val="000000"/>
        </w:rPr>
      </w:pPr>
      <w:r w:rsidRPr="004743E8">
        <w:rPr>
          <w:bCs/>
          <w:color w:val="000000"/>
        </w:rPr>
        <w:t xml:space="preserve">a) remuneração pela elaboração do relatório de comprovação de perdas; </w:t>
      </w:r>
    </w:p>
    <w:p w14:paraId="16321338" w14:textId="77777777" w:rsidR="004743E8" w:rsidRPr="004743E8" w:rsidRDefault="004743E8" w:rsidP="004743E8">
      <w:pPr>
        <w:tabs>
          <w:tab w:val="right" w:pos="9923"/>
        </w:tabs>
        <w:ind w:left="568" w:hanging="284"/>
        <w:jc w:val="both"/>
        <w:rPr>
          <w:bCs/>
          <w:color w:val="000000"/>
        </w:rPr>
      </w:pPr>
      <w:r w:rsidRPr="004743E8">
        <w:rPr>
          <w:bCs/>
          <w:color w:val="000000"/>
        </w:rPr>
        <w:t xml:space="preserve">b) despesas de análise de laboratório, quando necessários ao diagnóstico ou aferição de perdas; </w:t>
      </w:r>
    </w:p>
    <w:p w14:paraId="1A18026B" w14:textId="77777777" w:rsidR="004743E8" w:rsidRPr="004743E8" w:rsidRDefault="004743E8" w:rsidP="004743E8">
      <w:pPr>
        <w:tabs>
          <w:tab w:val="right" w:pos="9923"/>
        </w:tabs>
        <w:ind w:left="568" w:hanging="284"/>
        <w:jc w:val="both"/>
        <w:rPr>
          <w:color w:val="000000"/>
        </w:rPr>
      </w:pPr>
      <w:r w:rsidRPr="004743E8">
        <w:rPr>
          <w:bCs/>
          <w:color w:val="000000"/>
        </w:rPr>
        <w:t xml:space="preserve">c) despesas com classificação de produto. </w:t>
      </w:r>
    </w:p>
    <w:p w14:paraId="262189C1"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3 - Equiparam-se à comprovação de perdas, para todos os efeitos do programa, os serviços solicitados pelo Banco Central do Brasil referentes à aferição dos resultados de empreendimento amparado. </w:t>
      </w:r>
    </w:p>
    <w:p w14:paraId="6FAE8482"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4 - Respeitado o máximo de R$1.350,00 (mil trezentos e cinquenta reais) e o mínimo de R$330,00 (trezentos e trinta reais), a remuneração do técnico responsável pela elaboração do relatório de comprovação de perdas é devida à razão de 1% (um por cento) do valor total do orçamento do empreendimento, compreendendo o crédito e os correspondentes recursos próprios.</w:t>
      </w:r>
      <w:r w:rsidRPr="004743E8">
        <w:rPr>
          <w:bCs/>
          <w:color w:val="000000"/>
        </w:rPr>
        <w:tab/>
      </w:r>
    </w:p>
    <w:p w14:paraId="151E4F70"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5 - A remuneração definida no item 4 será objeto de acréscimo de R$80,00 (oitenta reais) nos casos previstos no item 14-"c" da Seção 4 deste Capítulo quando, para a elaboração do laudo conclusivo, for imprescindível a realização de vistoria posterior à que deu suporte à elaboração do laudo preliminar. </w:t>
      </w:r>
    </w:p>
    <w:p w14:paraId="46DA37DB"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6 - Deve ser deduzido da remuneração do técnico responsável pela elaboração do relatório de comprovação de perdas, a título de sanções pecuniárias, o valor correspondente a 1% (um por cento) por dia útil de atraso em relação aos prazos fixados para realização dos serviços de comprovação de perdas, bem como para entrega dos respectivos relatórios ao agente. </w:t>
      </w:r>
    </w:p>
    <w:p w14:paraId="3C9DA0EE"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7 - Compete ao agente pagar as despesas devidas com a comprovação de perdas, mediante débito na conta vinculada à operação, observado o seguinte: </w:t>
      </w:r>
    </w:p>
    <w:p w14:paraId="0633922C" w14:textId="77777777" w:rsidR="004743E8" w:rsidRPr="004743E8" w:rsidRDefault="004743E8" w:rsidP="004743E8">
      <w:pPr>
        <w:tabs>
          <w:tab w:val="right" w:pos="9923"/>
        </w:tabs>
        <w:ind w:left="568" w:hanging="284"/>
        <w:jc w:val="both"/>
        <w:rPr>
          <w:bCs/>
          <w:color w:val="000000"/>
        </w:rPr>
      </w:pPr>
      <w:r w:rsidRPr="004743E8">
        <w:rPr>
          <w:bCs/>
          <w:color w:val="000000"/>
        </w:rPr>
        <w:t xml:space="preserve">a) a remuneração do técnico responsável pela elaboração do relatório de comprovação de perdas deve ser integralmente paga no prazo máximo de 15 (quinze) dias úteis a contar da entrega do relatório concluso; </w:t>
      </w:r>
    </w:p>
    <w:p w14:paraId="037B4EF2" w14:textId="77777777" w:rsidR="004743E8" w:rsidRPr="004743E8" w:rsidRDefault="004743E8" w:rsidP="004743E8">
      <w:pPr>
        <w:tabs>
          <w:tab w:val="right" w:pos="9923"/>
        </w:tabs>
        <w:ind w:left="568" w:hanging="284"/>
        <w:jc w:val="both"/>
        <w:rPr>
          <w:bCs/>
          <w:color w:val="000000"/>
        </w:rPr>
      </w:pPr>
      <w:r w:rsidRPr="004743E8">
        <w:rPr>
          <w:bCs/>
          <w:color w:val="000000"/>
        </w:rPr>
        <w:t xml:space="preserve">b) as demais despesas que integrem a comprovação de perdas devem ser pagas no prazo máximo de 15 (quinze) dias úteis a contar da apresentação das respectivas notas fiscais de prestação de serviços ou documentos equivalentes, vedado, porém, ao agente acolher qualquer despesa antes da entrega da primeira parte do relatório de comprovação de perdas; </w:t>
      </w:r>
    </w:p>
    <w:p w14:paraId="2C904CCB" w14:textId="77777777" w:rsidR="004743E8" w:rsidRPr="004743E8" w:rsidRDefault="004743E8" w:rsidP="004743E8">
      <w:pPr>
        <w:tabs>
          <w:tab w:val="right" w:pos="9923"/>
        </w:tabs>
        <w:ind w:left="568" w:hanging="284"/>
        <w:jc w:val="both"/>
        <w:rPr>
          <w:bCs/>
          <w:color w:val="000000"/>
        </w:rPr>
      </w:pPr>
      <w:r w:rsidRPr="004743E8">
        <w:rPr>
          <w:bCs/>
          <w:color w:val="000000"/>
        </w:rPr>
        <w:t xml:space="preserve">c) é obrigatório capitalizar as despesas na conta vinculada, lançando-as separadamente de outras despesas. </w:t>
      </w:r>
    </w:p>
    <w:p w14:paraId="36DEC809"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8 - Se o agente verificar irregularidade no preenchimento do relatório de comprovação de perdas ou em comprovantes de despesas, suspende-se o prazo previsto no item 7, cuja contagem se reinicia na data em que ultimada pelo técnico a devida regularização. </w:t>
      </w:r>
    </w:p>
    <w:p w14:paraId="1BACD544"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9 - Ocorrendo desistência do pedido de cobertura sem que o técnico tenha realizado a última visita regulamentar, apura-se na data de formalização da desistência a base de cálculo de sua remuneração, que deve ser paga no prazo máximo de 15 (quinze) dias úteis, sendo desnecessária a entrega da segunda parte do relatório de comprovação de perdas. </w:t>
      </w:r>
    </w:p>
    <w:p w14:paraId="507E5CEE"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10 - Na falta de observância do prazo estabelecido para pagamento das despesas de comprovação de perdas, o agente fica sujeito, a título de sanções pecuniárias, ao pagamento de juros à taxa efetiva de 12% a.a. (doze por cento ao ano), incidente sobre o valor em atraso, a partir do primeiro dia subsequente ao esgotamento do prazo. </w:t>
      </w:r>
    </w:p>
    <w:p w14:paraId="1ABFFE64"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11 - O produto de sanções pecuniárias resultante do disposto no item 10 não integra as despesas com comprovação de perdas, mas constitui ônus do agente, sendo vedado o seu débito na conta vinculada à operação. </w:t>
      </w:r>
    </w:p>
    <w:p w14:paraId="528EF355"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12 - As despesas de comprovação de perdas imputáveis ao </w:t>
      </w:r>
      <w:proofErr w:type="spellStart"/>
      <w:r w:rsidRPr="004743E8">
        <w:rPr>
          <w:bCs/>
          <w:color w:val="000000"/>
        </w:rPr>
        <w:t>Proagro</w:t>
      </w:r>
      <w:proofErr w:type="spellEnd"/>
      <w:r w:rsidRPr="004743E8">
        <w:rPr>
          <w:bCs/>
          <w:color w:val="000000"/>
        </w:rPr>
        <w:t xml:space="preserve"> devem ser: </w:t>
      </w:r>
    </w:p>
    <w:p w14:paraId="5119D5C6" w14:textId="77777777" w:rsidR="004743E8" w:rsidRPr="004743E8" w:rsidRDefault="004743E8" w:rsidP="004743E8">
      <w:pPr>
        <w:tabs>
          <w:tab w:val="right" w:pos="9923"/>
        </w:tabs>
        <w:ind w:left="568" w:hanging="284"/>
        <w:jc w:val="both"/>
        <w:rPr>
          <w:bCs/>
          <w:color w:val="000000"/>
        </w:rPr>
      </w:pPr>
      <w:r w:rsidRPr="004743E8">
        <w:rPr>
          <w:bCs/>
          <w:color w:val="000000"/>
        </w:rPr>
        <w:t xml:space="preserve">a) registradas na súmula de julgamento do pedido de cobertura; </w:t>
      </w:r>
    </w:p>
    <w:p w14:paraId="672AFB39" w14:textId="77777777" w:rsidR="004743E8" w:rsidRPr="004743E8" w:rsidRDefault="004743E8" w:rsidP="004743E8">
      <w:pPr>
        <w:tabs>
          <w:tab w:val="right" w:pos="9923"/>
        </w:tabs>
        <w:ind w:left="568" w:hanging="284"/>
        <w:jc w:val="both"/>
        <w:rPr>
          <w:bCs/>
          <w:color w:val="000000"/>
        </w:rPr>
      </w:pPr>
      <w:r w:rsidRPr="004743E8">
        <w:rPr>
          <w:bCs/>
          <w:color w:val="000000"/>
        </w:rPr>
        <w:t xml:space="preserve">b) debitadas na conta vinculada à operação; </w:t>
      </w:r>
    </w:p>
    <w:p w14:paraId="76F4A1EE" w14:textId="77777777" w:rsidR="004743E8" w:rsidRPr="004743E8" w:rsidRDefault="004743E8" w:rsidP="004743E8">
      <w:pPr>
        <w:tabs>
          <w:tab w:val="right" w:pos="9923"/>
        </w:tabs>
        <w:ind w:left="568" w:hanging="284"/>
        <w:jc w:val="both"/>
        <w:rPr>
          <w:bCs/>
          <w:color w:val="000000"/>
        </w:rPr>
      </w:pPr>
      <w:r w:rsidRPr="004743E8">
        <w:rPr>
          <w:bCs/>
          <w:color w:val="000000"/>
        </w:rPr>
        <w:t xml:space="preserve">c) apuradas pelo agente até a data da decisão do pedido de cobertura em primeira instância, mediante aplicação de encargos contratuais, limitados à maior remuneração a que estiverem sujeitas as operações de crédito rural de custeio a taxas prefixadas amparadas com recursos obrigatórios. </w:t>
      </w:r>
    </w:p>
    <w:p w14:paraId="21F51AB4"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13 - Cabe ao beneficiário o ônus das despesas de comprovação de perdas nas seguintes hipóteses:</w:t>
      </w:r>
    </w:p>
    <w:p w14:paraId="530E2CF4" w14:textId="77777777" w:rsidR="004743E8" w:rsidRPr="004743E8" w:rsidRDefault="004743E8" w:rsidP="004743E8">
      <w:pPr>
        <w:tabs>
          <w:tab w:val="right" w:pos="9923"/>
        </w:tabs>
        <w:ind w:left="568" w:hanging="284"/>
        <w:jc w:val="both"/>
        <w:rPr>
          <w:bCs/>
          <w:color w:val="000000"/>
        </w:rPr>
      </w:pPr>
      <w:r w:rsidRPr="004743E8">
        <w:rPr>
          <w:bCs/>
          <w:color w:val="000000"/>
        </w:rPr>
        <w:t>a) constatação de dolo ou má-fé na comunicação de perdas;</w:t>
      </w:r>
    </w:p>
    <w:p w14:paraId="61DF6401" w14:textId="77777777" w:rsidR="004743E8" w:rsidRPr="004743E8" w:rsidRDefault="004743E8" w:rsidP="004743E8">
      <w:pPr>
        <w:tabs>
          <w:tab w:val="right" w:pos="9923"/>
        </w:tabs>
        <w:ind w:left="568" w:hanging="284"/>
        <w:jc w:val="both"/>
        <w:rPr>
          <w:bCs/>
          <w:color w:val="000000"/>
        </w:rPr>
      </w:pPr>
      <w:r w:rsidRPr="004743E8">
        <w:rPr>
          <w:bCs/>
          <w:color w:val="000000"/>
        </w:rPr>
        <w:t>b) indeferimento do pedido de cobertura por comunicação de perdas indevida;</w:t>
      </w:r>
    </w:p>
    <w:p w14:paraId="520C729F" w14:textId="77777777" w:rsidR="004743E8" w:rsidRPr="004743E8" w:rsidRDefault="004743E8" w:rsidP="004743E8">
      <w:pPr>
        <w:tabs>
          <w:tab w:val="right" w:pos="9923"/>
        </w:tabs>
        <w:ind w:left="567" w:hanging="284"/>
        <w:jc w:val="both"/>
        <w:rPr>
          <w:bCs/>
          <w:color w:val="000000"/>
        </w:rPr>
      </w:pPr>
      <w:r w:rsidRPr="004743E8">
        <w:rPr>
          <w:bCs/>
          <w:color w:val="000000"/>
        </w:rPr>
        <w:lastRenderedPageBreak/>
        <w:t>c) desistência do pedido de cobertura após a realização de comprovação de perdas.</w:t>
      </w:r>
    </w:p>
    <w:p w14:paraId="42962C0E"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14 - Após a decisão do pedido de cobertura, cabe ao agente: </w:t>
      </w:r>
    </w:p>
    <w:p w14:paraId="1624FD50" w14:textId="77777777" w:rsidR="004743E8" w:rsidRPr="004743E8" w:rsidRDefault="004743E8" w:rsidP="004743E8">
      <w:pPr>
        <w:tabs>
          <w:tab w:val="right" w:pos="9923"/>
        </w:tabs>
        <w:ind w:left="568" w:hanging="284"/>
        <w:jc w:val="both"/>
        <w:rPr>
          <w:bCs/>
          <w:color w:val="000000"/>
        </w:rPr>
      </w:pPr>
      <w:r w:rsidRPr="004743E8">
        <w:rPr>
          <w:bCs/>
          <w:color w:val="000000"/>
        </w:rPr>
        <w:t>a) transferir a cobertura relativa ao valor financiado da conta vinculada à operação para conta específica "</w:t>
      </w:r>
      <w:proofErr w:type="spellStart"/>
      <w:r w:rsidRPr="004743E8">
        <w:rPr>
          <w:bCs/>
          <w:color w:val="000000"/>
        </w:rPr>
        <w:t>Proagro</w:t>
      </w:r>
      <w:proofErr w:type="spellEnd"/>
      <w:r w:rsidRPr="004743E8">
        <w:rPr>
          <w:bCs/>
          <w:color w:val="000000"/>
        </w:rPr>
        <w:t xml:space="preserve"> a Receber", cujo saldo médio diário pode ser computado para cumprimento da exigibilidade dos recursos obrigatórios; </w:t>
      </w:r>
    </w:p>
    <w:p w14:paraId="2416B2F1" w14:textId="77777777" w:rsidR="004743E8" w:rsidRPr="004743E8" w:rsidRDefault="004743E8" w:rsidP="004743E8">
      <w:pPr>
        <w:tabs>
          <w:tab w:val="right" w:pos="9923"/>
        </w:tabs>
        <w:ind w:left="567" w:hanging="284"/>
        <w:jc w:val="both"/>
        <w:rPr>
          <w:bCs/>
          <w:color w:val="000000"/>
        </w:rPr>
      </w:pPr>
      <w:r w:rsidRPr="004743E8">
        <w:rPr>
          <w:bCs/>
          <w:color w:val="000000"/>
        </w:rPr>
        <w:t xml:space="preserve">b) controlar o valor das coberturas de recursos próprios e de garantia de renda mínima em conta específica de compensação. </w:t>
      </w:r>
    </w:p>
    <w:p w14:paraId="15DB88F7"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15 - No prazo máximo de 5 (cinco) dias úteis a contar da sua decisão referente ao pedido de cobertura, cabe ao agente, com base nos dados da Súmula de Julgamento, registrar no Sistema de Operações do Crédito Rural e do </w:t>
      </w:r>
      <w:proofErr w:type="spellStart"/>
      <w:r w:rsidRPr="004743E8">
        <w:rPr>
          <w:bCs/>
          <w:color w:val="000000"/>
        </w:rPr>
        <w:t>Proagro</w:t>
      </w:r>
      <w:proofErr w:type="spellEnd"/>
      <w:r w:rsidRPr="004743E8">
        <w:rPr>
          <w:bCs/>
          <w:color w:val="000000"/>
        </w:rPr>
        <w:t xml:space="preserve"> (</w:t>
      </w:r>
      <w:proofErr w:type="spellStart"/>
      <w:r w:rsidRPr="004743E8">
        <w:rPr>
          <w:bCs/>
          <w:color w:val="000000"/>
        </w:rPr>
        <w:t>Sicor</w:t>
      </w:r>
      <w:proofErr w:type="spellEnd"/>
      <w:r w:rsidRPr="004743E8">
        <w:rPr>
          <w:bCs/>
          <w:color w:val="000000"/>
        </w:rPr>
        <w:t>), conforme o caso:</w:t>
      </w:r>
    </w:p>
    <w:p w14:paraId="2222352A" w14:textId="77777777" w:rsidR="004743E8" w:rsidRPr="004743E8" w:rsidRDefault="004743E8" w:rsidP="004743E8">
      <w:pPr>
        <w:tabs>
          <w:tab w:val="right" w:pos="9923"/>
        </w:tabs>
        <w:ind w:left="568" w:hanging="284"/>
        <w:jc w:val="both"/>
        <w:rPr>
          <w:bCs/>
          <w:color w:val="000000"/>
        </w:rPr>
      </w:pPr>
      <w:r w:rsidRPr="004743E8">
        <w:rPr>
          <w:bCs/>
          <w:color w:val="000000"/>
        </w:rPr>
        <w:t xml:space="preserve">a) o indeferimento do pedido de cobertura; </w:t>
      </w:r>
    </w:p>
    <w:p w14:paraId="155E4009" w14:textId="77777777" w:rsidR="004743E8" w:rsidRPr="004743E8" w:rsidRDefault="004743E8" w:rsidP="004743E8">
      <w:pPr>
        <w:tabs>
          <w:tab w:val="right" w:pos="9923"/>
        </w:tabs>
        <w:ind w:left="568" w:hanging="284"/>
        <w:jc w:val="both"/>
        <w:rPr>
          <w:bCs/>
          <w:color w:val="000000"/>
        </w:rPr>
      </w:pPr>
      <w:r w:rsidRPr="004743E8">
        <w:rPr>
          <w:bCs/>
          <w:color w:val="000000"/>
        </w:rPr>
        <w:t xml:space="preserve">b) as despesas de comprovação de perdas e de cobertura do </w:t>
      </w:r>
      <w:proofErr w:type="spellStart"/>
      <w:r w:rsidRPr="004743E8">
        <w:rPr>
          <w:bCs/>
          <w:color w:val="000000"/>
        </w:rPr>
        <w:t>Proagro</w:t>
      </w:r>
      <w:proofErr w:type="spellEnd"/>
      <w:r w:rsidRPr="004743E8">
        <w:rPr>
          <w:bCs/>
          <w:color w:val="000000"/>
        </w:rPr>
        <w:t xml:space="preserve">. </w:t>
      </w:r>
    </w:p>
    <w:p w14:paraId="5BCB6073"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16 - Os registros de que trata o item 15 devem ser efetuados por meio eletrônico, com base em leiautes definidos pelo Banco Central do Brasil. </w:t>
      </w:r>
    </w:p>
    <w:p w14:paraId="24400B0C"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17 - As despesas de comprovação de perdas, de cobertura do crédito de custeio rural e de remuneração do agente, quando for o caso, são acrescidas dos encargos contratuais, limitados à maior remuneração a que estiverem sujeitas as operações de crédito rural de custeio a taxas prefixadas, amparadas com recursos obrigatórios, vigentes na data da formalização do respectivo enquadramento no </w:t>
      </w:r>
      <w:proofErr w:type="spellStart"/>
      <w:r w:rsidRPr="004743E8">
        <w:rPr>
          <w:bCs/>
          <w:color w:val="000000"/>
        </w:rPr>
        <w:t>Proagro</w:t>
      </w:r>
      <w:proofErr w:type="spellEnd"/>
      <w:r w:rsidRPr="004743E8">
        <w:rPr>
          <w:bCs/>
          <w:color w:val="000000"/>
        </w:rPr>
        <w:t xml:space="preserve">, calculados a partir da data da decisão da cobertura pelo agente em primeira instância até o dia anterior ao da efetiva liberação dos recursos pelo Banco Central do Brasil. </w:t>
      </w:r>
    </w:p>
    <w:p w14:paraId="47F49B15"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18 - Cabe ao Banco Central do Brasil efetuar o pagamento das despesas imputáveis ao programa, mediante liberação por lançamento na conta Reservas Bancárias de cada agente. </w:t>
      </w:r>
    </w:p>
    <w:p w14:paraId="0DEE58A9"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19 - Observadas as condições do item 20, cabe ao agente do </w:t>
      </w:r>
      <w:proofErr w:type="spellStart"/>
      <w:r w:rsidRPr="004743E8">
        <w:rPr>
          <w:bCs/>
          <w:color w:val="000000"/>
        </w:rPr>
        <w:t>Proagro</w:t>
      </w:r>
      <w:proofErr w:type="spellEnd"/>
      <w:r w:rsidRPr="004743E8">
        <w:rPr>
          <w:bCs/>
          <w:color w:val="000000"/>
        </w:rPr>
        <w:t xml:space="preserve">, no prazo de até 5 (cinco) dias úteis, contados do lançamento na conta Reservas Bancárias, providenciar: </w:t>
      </w:r>
    </w:p>
    <w:p w14:paraId="0BCC11AE" w14:textId="77777777" w:rsidR="004743E8" w:rsidRPr="004743E8" w:rsidRDefault="004743E8" w:rsidP="004743E8">
      <w:pPr>
        <w:tabs>
          <w:tab w:val="right" w:pos="9923"/>
        </w:tabs>
        <w:ind w:left="568" w:hanging="284"/>
        <w:jc w:val="both"/>
        <w:rPr>
          <w:bCs/>
          <w:color w:val="000000"/>
        </w:rPr>
      </w:pPr>
      <w:r w:rsidRPr="004743E8">
        <w:rPr>
          <w:bCs/>
          <w:color w:val="000000"/>
        </w:rPr>
        <w:t>a) a transferência ao beneficiário de valores recebidos, referentes às coberturas de recursos próprios e de garantia de renda mínima;</w:t>
      </w:r>
    </w:p>
    <w:p w14:paraId="2ECF0239" w14:textId="77777777" w:rsidR="004743E8" w:rsidRPr="004743E8" w:rsidRDefault="004743E8" w:rsidP="004743E8">
      <w:pPr>
        <w:tabs>
          <w:tab w:val="right" w:pos="9923"/>
        </w:tabs>
        <w:ind w:left="568" w:hanging="284"/>
        <w:jc w:val="both"/>
        <w:rPr>
          <w:bCs/>
          <w:color w:val="000000"/>
        </w:rPr>
      </w:pPr>
      <w:r w:rsidRPr="004743E8">
        <w:rPr>
          <w:bCs/>
          <w:color w:val="000000"/>
        </w:rPr>
        <w:t>b) a amortização do saldo devedor do financiamento de investimento contratado, para valores recebidos referentes à cobertura de parcelas de investimento.</w:t>
      </w:r>
    </w:p>
    <w:p w14:paraId="56951F85"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20 - Para o cumprimento das disposições do item 19: </w:t>
      </w:r>
    </w:p>
    <w:p w14:paraId="31E710DA" w14:textId="77777777" w:rsidR="004743E8" w:rsidRPr="004743E8" w:rsidRDefault="004743E8" w:rsidP="004743E8">
      <w:pPr>
        <w:tabs>
          <w:tab w:val="right" w:pos="9923"/>
        </w:tabs>
        <w:ind w:left="568" w:hanging="284"/>
        <w:jc w:val="both"/>
        <w:rPr>
          <w:bCs/>
          <w:color w:val="000000"/>
        </w:rPr>
      </w:pPr>
      <w:r w:rsidRPr="004743E8">
        <w:rPr>
          <w:bCs/>
          <w:color w:val="000000"/>
        </w:rPr>
        <w:t xml:space="preserve">a) os valores devem ser acrescidos, desde a data do lançamento na conta Reservas Bancárias até a da efetiva transferência ou amortização, de encargos financeiros equivalentes à maior remuneração aplicável às operações de crédito rural a taxas prefixadas amparadas com recursos obrigatórios, vigente na data da formalização do respectivo enquadramento no </w:t>
      </w:r>
      <w:proofErr w:type="spellStart"/>
      <w:r w:rsidRPr="004743E8">
        <w:rPr>
          <w:bCs/>
          <w:color w:val="000000"/>
        </w:rPr>
        <w:t>Proagro</w:t>
      </w:r>
      <w:proofErr w:type="spellEnd"/>
      <w:r w:rsidRPr="004743E8">
        <w:rPr>
          <w:bCs/>
          <w:color w:val="000000"/>
        </w:rPr>
        <w:t xml:space="preserve">, às expensas do agente do </w:t>
      </w:r>
      <w:proofErr w:type="spellStart"/>
      <w:r w:rsidRPr="004743E8">
        <w:rPr>
          <w:bCs/>
          <w:color w:val="000000"/>
        </w:rPr>
        <w:t>Proagro</w:t>
      </w:r>
      <w:proofErr w:type="spellEnd"/>
      <w:r w:rsidRPr="004743E8">
        <w:rPr>
          <w:bCs/>
          <w:color w:val="000000"/>
        </w:rPr>
        <w:t xml:space="preserve">; </w:t>
      </w:r>
    </w:p>
    <w:p w14:paraId="087E4561" w14:textId="77777777" w:rsidR="004743E8" w:rsidRPr="004743E8" w:rsidRDefault="004743E8" w:rsidP="004743E8">
      <w:pPr>
        <w:tabs>
          <w:tab w:val="right" w:pos="9923"/>
        </w:tabs>
        <w:ind w:left="568" w:hanging="284"/>
        <w:jc w:val="both"/>
        <w:rPr>
          <w:bCs/>
          <w:color w:val="000000"/>
        </w:rPr>
      </w:pPr>
      <w:r w:rsidRPr="004743E8">
        <w:rPr>
          <w:bCs/>
          <w:color w:val="000000"/>
        </w:rPr>
        <w:t xml:space="preserve">b) a partir do 6º (sexto) dia útil, a contar do lançamento na conta Reservas Bancárias, os encargos previstos na alínea "a" devem ser substituídos por taxa de 12% a.a. (doze por cento ao ano), incidente sobre os valores pendentes de transferência ao beneficiário ou de amortização do investimento. </w:t>
      </w:r>
    </w:p>
    <w:p w14:paraId="6F3846F8"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21 - O Banco Central do Brasil pode impugnar o pagamento de despesa decorrente de decisão manifestamente ilegal ou contrária ao regulamento do programa, mediante cobrança via Sistema de Pagamentos Brasileiro (SPB), para débito do valor correspondente na conta Reservas Bancárias de cada agente. </w:t>
      </w:r>
    </w:p>
    <w:p w14:paraId="5D0782CA"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22 - O agente se responsabiliza pelas despesas pagas indevidamente. </w:t>
      </w:r>
    </w:p>
    <w:p w14:paraId="04317267" w14:textId="77777777" w:rsidR="004743E8" w:rsidRPr="004743E8" w:rsidRDefault="004743E8" w:rsidP="004743E8">
      <w:pPr>
        <w:tabs>
          <w:tab w:val="right" w:pos="9923"/>
        </w:tabs>
        <w:spacing w:before="120"/>
        <w:ind w:left="284" w:hanging="284"/>
        <w:jc w:val="both"/>
        <w:rPr>
          <w:bCs/>
          <w:color w:val="000000"/>
        </w:rPr>
      </w:pPr>
      <w:r w:rsidRPr="004743E8">
        <w:rPr>
          <w:bCs/>
          <w:color w:val="000000"/>
        </w:rPr>
        <w:t xml:space="preserve">23 - Na hipótese de qualquer pagamento indevido, sua devolução pelo agente sujeita-se à incidência de juros à taxa efetiva de 12% a.a. (doze por cento ao ano), a partir da data do crédito na conta Reservas Bancárias até a data da devolução. </w:t>
      </w:r>
    </w:p>
    <w:p w14:paraId="49C3693E" w14:textId="77FE85EC" w:rsidR="0014200F" w:rsidRPr="00D0101B" w:rsidRDefault="004743E8" w:rsidP="00FE5336">
      <w:pPr>
        <w:tabs>
          <w:tab w:val="right" w:pos="9923"/>
        </w:tabs>
        <w:spacing w:before="120"/>
        <w:ind w:left="284" w:hanging="284"/>
        <w:jc w:val="both"/>
        <w:rPr>
          <w:bCs/>
          <w:color w:val="000000"/>
        </w:rPr>
      </w:pPr>
      <w:r w:rsidRPr="00D0101B">
        <w:rPr>
          <w:bCs/>
          <w:color w:val="000000"/>
        </w:rPr>
        <w:t>24 - Nos pedidos de ressarcimento e de devolução de cobertura e das demais despesas de que trata esta Seção, deve ser considerada como data-base, para fins de apuração desses valores, a data da decisão do pedido de cobertura pelo agente em primeira instância, observados os prazos regulamentares.</w:t>
      </w:r>
    </w:p>
    <w:sectPr w:rsidR="0014200F" w:rsidRPr="00D0101B" w:rsidSect="00DC02EC">
      <w:headerReference w:type="even" r:id="rId7"/>
      <w:headerReference w:type="default" r:id="rId8"/>
      <w:footerReference w:type="default" r:id="rId9"/>
      <w:footerReference w:type="first" r:id="rId10"/>
      <w:pgSz w:w="11907" w:h="16840" w:code="9"/>
      <w:pgMar w:top="543" w:right="851" w:bottom="992"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4EA32" w14:textId="77777777" w:rsidR="00F45BCB" w:rsidRDefault="00F45BCB">
      <w:r>
        <w:separator/>
      </w:r>
    </w:p>
  </w:endnote>
  <w:endnote w:type="continuationSeparator" w:id="0">
    <w:p w14:paraId="344C9329" w14:textId="77777777" w:rsidR="00F45BCB" w:rsidRDefault="00F4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F406" w14:textId="77777777" w:rsidR="00740347" w:rsidRPr="00926D5A" w:rsidRDefault="00740347">
    <w:pPr>
      <w:pStyle w:val="TextosemFormatao"/>
      <w:rPr>
        <w:rFonts w:ascii="Times New Roman" w:hAnsi="Times New Roman"/>
      </w:rPr>
    </w:pPr>
    <w:r w:rsidRPr="00926D5A">
      <w:rPr>
        <w:rFonts w:ascii="Times New Roman" w:hAnsi="Times New Roman"/>
      </w:rPr>
      <w:t>_____________________________________________________________________________________________</w:t>
    </w:r>
  </w:p>
  <w:p w14:paraId="1DB57EFF" w14:textId="384D61A3" w:rsidR="00740347" w:rsidRDefault="00C36387" w:rsidP="002F610E">
    <w:pPr>
      <w:pStyle w:val="Rodap"/>
    </w:pPr>
    <w:r w:rsidRPr="00C36387">
      <w:t>Resolução CMN nº 4.902, de 25 de março de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AE70" w14:textId="77777777" w:rsidR="00DC02EC" w:rsidRPr="00926D5A" w:rsidRDefault="00DC02EC" w:rsidP="00DC02EC">
    <w:pPr>
      <w:pStyle w:val="TextosemFormatao"/>
      <w:rPr>
        <w:rFonts w:ascii="Times New Roman" w:hAnsi="Times New Roman"/>
      </w:rPr>
    </w:pPr>
    <w:r w:rsidRPr="00926D5A">
      <w:rPr>
        <w:rFonts w:ascii="Times New Roman" w:hAnsi="Times New Roman"/>
      </w:rPr>
      <w:t>_____________________________________________________________________________________________</w:t>
    </w:r>
  </w:p>
  <w:p w14:paraId="704BE0B1" w14:textId="4A04F12C" w:rsidR="00DC02EC" w:rsidRDefault="00C36387">
    <w:pPr>
      <w:pStyle w:val="Rodap"/>
    </w:pPr>
    <w:r w:rsidRPr="00C36387">
      <w:t>Resolução CMN nº 4.902, de 25 de março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A95B8" w14:textId="77777777" w:rsidR="00F45BCB" w:rsidRDefault="00F45BCB">
      <w:r>
        <w:separator/>
      </w:r>
    </w:p>
  </w:footnote>
  <w:footnote w:type="continuationSeparator" w:id="0">
    <w:p w14:paraId="4294A179" w14:textId="77777777" w:rsidR="00F45BCB" w:rsidRDefault="00F4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9983" w14:textId="77777777" w:rsidR="00740347" w:rsidRDefault="0074034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603DF5B" w14:textId="77777777" w:rsidR="00740347" w:rsidRDefault="0074034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BADB" w14:textId="77777777" w:rsidR="00740347" w:rsidRDefault="00740347">
    <w:pPr>
      <w:pStyle w:val="Cabealho"/>
      <w:tabs>
        <w:tab w:val="clear" w:pos="4419"/>
        <w:tab w:val="clear" w:pos="8838"/>
        <w:tab w:val="left" w:pos="993"/>
        <w:tab w:val="right" w:pos="9639"/>
      </w:tabs>
    </w:pPr>
    <w:r>
      <w:t>TÍTULO</w:t>
    </w:r>
    <w:r>
      <w:tab/>
      <w:t>: CRÉDITO RURAL</w:t>
    </w:r>
    <w:r>
      <w:tab/>
    </w:r>
    <w:r w:rsidR="00042336">
      <w:fldChar w:fldCharType="begin"/>
    </w:r>
    <w:r w:rsidR="00042336">
      <w:instrText xml:space="preserve"> PAGE  \* MERGEFORMAT </w:instrText>
    </w:r>
    <w:r w:rsidR="00042336">
      <w:fldChar w:fldCharType="separate"/>
    </w:r>
    <w:r w:rsidR="00B670D4">
      <w:rPr>
        <w:noProof/>
      </w:rPr>
      <w:t>3</w:t>
    </w:r>
    <w:r w:rsidR="00042336">
      <w:rPr>
        <w:noProof/>
      </w:rPr>
      <w:fldChar w:fldCharType="end"/>
    </w:r>
  </w:p>
  <w:p w14:paraId="338048F0" w14:textId="4BCCC085" w:rsidR="00740347" w:rsidRDefault="00740347">
    <w:pPr>
      <w:pStyle w:val="Cabealho"/>
      <w:tabs>
        <w:tab w:val="clear" w:pos="4419"/>
        <w:tab w:val="clear" w:pos="8838"/>
        <w:tab w:val="left" w:pos="993"/>
        <w:tab w:val="right" w:pos="9639"/>
      </w:tabs>
    </w:pPr>
    <w:r>
      <w:t>CAPÍTULO</w:t>
    </w:r>
    <w:r>
      <w:tab/>
      <w:t xml:space="preserve">: </w:t>
    </w:r>
    <w:r w:rsidR="00FF45CA" w:rsidRPr="00FF45CA">
      <w:t>Programa de Garantia da Atividade Agropecuária (</w:t>
    </w:r>
    <w:proofErr w:type="spellStart"/>
    <w:r w:rsidR="00FF45CA" w:rsidRPr="00FF45CA">
      <w:t>Proagro</w:t>
    </w:r>
    <w:proofErr w:type="spellEnd"/>
    <w:r w:rsidR="00FF45CA" w:rsidRPr="00FF45CA">
      <w:t>) - 1</w:t>
    </w:r>
    <w:r w:rsidR="004743E8">
      <w:t>2</w:t>
    </w:r>
  </w:p>
  <w:p w14:paraId="5B7AEFCF" w14:textId="77777777" w:rsidR="00740347" w:rsidRDefault="00740347" w:rsidP="00913B58">
    <w:pPr>
      <w:pStyle w:val="Cabealho"/>
      <w:tabs>
        <w:tab w:val="clear" w:pos="4419"/>
        <w:tab w:val="clear" w:pos="8838"/>
        <w:tab w:val="left" w:pos="993"/>
        <w:tab w:val="right" w:pos="9639"/>
        <w:tab w:val="right" w:pos="9923"/>
      </w:tabs>
    </w:pPr>
    <w:r>
      <w:t>SEÇÃO</w:t>
    </w:r>
    <w:r>
      <w:tab/>
      <w:t xml:space="preserve">: </w:t>
    </w:r>
    <w:r w:rsidR="00FF45CA" w:rsidRPr="00FF45CA">
      <w:t>Despesas - 7</w:t>
    </w:r>
  </w:p>
  <w:p w14:paraId="164EC320" w14:textId="77777777" w:rsidR="00740347" w:rsidRDefault="00740347">
    <w:pPr>
      <w:pStyle w:val="Cabealho"/>
      <w:tabs>
        <w:tab w:val="clear" w:pos="4419"/>
        <w:tab w:val="clear" w:pos="8838"/>
        <w:tab w:val="left" w:pos="1134"/>
        <w:tab w:val="right" w:pos="9639"/>
      </w:tabs>
    </w:pPr>
    <w:r>
      <w:t>_____________________________________________________________________________________________</w:t>
    </w:r>
  </w:p>
  <w:p w14:paraId="66A05DD1" w14:textId="77777777" w:rsidR="00740347" w:rsidRDefault="00740347">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0EBC"/>
    <w:multiLevelType w:val="singleLevel"/>
    <w:tmpl w:val="1006378A"/>
    <w:lvl w:ilvl="0">
      <w:start w:val="1"/>
      <w:numFmt w:val="none"/>
      <w:pStyle w:val="Epgrafe"/>
      <w:lvlText w:val="RESOLUÇÃO "/>
      <w:lvlJc w:val="left"/>
      <w:pPr>
        <w:tabs>
          <w:tab w:val="num" w:pos="1800"/>
        </w:tabs>
        <w:ind w:left="0" w:firstLine="0"/>
      </w:pPr>
      <w:rPr>
        <w:rFonts w:ascii="Times New Roman" w:hAnsi="Times New Roman" w:hint="default"/>
        <w:b w:val="0"/>
        <w:i w:val="0"/>
        <w:sz w:val="24"/>
      </w:rPr>
    </w:lvl>
  </w:abstractNum>
  <w:abstractNum w:abstractNumId="1" w15:restartNumberingAfterBreak="0">
    <w:nsid w:val="19371378"/>
    <w:multiLevelType w:val="multilevel"/>
    <w:tmpl w:val="5CE07D6C"/>
    <w:lvl w:ilvl="0">
      <w:start w:val="1"/>
      <w:numFmt w:val="decimal"/>
      <w:pStyle w:val="Artigo"/>
      <w:suff w:val="nothing"/>
      <w:lvlText w:val="Art. %1"/>
      <w:lvlJc w:val="left"/>
      <w:pPr>
        <w:ind w:left="0" w:firstLine="1701"/>
      </w:pPr>
      <w:rPr>
        <w:rFonts w:ascii="Times New Roman" w:hAnsi="Times New Roman" w:hint="default"/>
        <w:sz w:val="24"/>
      </w:rPr>
    </w:lvl>
    <w:lvl w:ilvl="1">
      <w:start w:val="1"/>
      <w:numFmt w:val="upperRoman"/>
      <w:suff w:val="nothing"/>
      <w:lvlText w:val="%2 - "/>
      <w:lvlJc w:val="left"/>
      <w:pPr>
        <w:ind w:left="0" w:firstLine="1701"/>
      </w:pPr>
      <w:rPr>
        <w:rFonts w:ascii="Times New Roman" w:hAnsi="Times New Roman" w:hint="default"/>
        <w:sz w:val="24"/>
      </w:rPr>
    </w:lvl>
    <w:lvl w:ilvl="2">
      <w:start w:val="1"/>
      <w:numFmt w:val="lowerLetter"/>
      <w:suff w:val="nothing"/>
      <w:lvlText w:val="%3)"/>
      <w:lvlJc w:val="left"/>
      <w:pPr>
        <w:ind w:left="0" w:firstLine="1701"/>
      </w:pPr>
      <w:rPr>
        <w:rFonts w:ascii="Times New Roman" w:hAnsi="Times New Roman" w:hint="default"/>
        <w:sz w:val="24"/>
      </w:rPr>
    </w:lvl>
    <w:lvl w:ilvl="3">
      <w:start w:val="1"/>
      <w:numFmt w:val="decimal"/>
      <w:suff w:val="nothing"/>
      <w:lvlText w:val="%4."/>
      <w:lvlJc w:val="left"/>
      <w:pPr>
        <w:ind w:left="0" w:firstLine="1701"/>
      </w:pPr>
      <w:rPr>
        <w:rFonts w:ascii="Times New Roman" w:hAnsi="Times New Roman" w:hint="default"/>
        <w:sz w:val="24"/>
      </w:rPr>
    </w:lvl>
    <w:lvl w:ilvl="4">
      <w:start w:val="1"/>
      <w:numFmt w:val="none"/>
      <w:suff w:val="nothing"/>
      <w:lvlText w:val="- "/>
      <w:lvlJc w:val="left"/>
      <w:pPr>
        <w:ind w:left="0" w:firstLine="170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E25783"/>
    <w:multiLevelType w:val="hybridMultilevel"/>
    <w:tmpl w:val="9DBE2C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08414B"/>
    <w:multiLevelType w:val="hybridMultilevel"/>
    <w:tmpl w:val="AE52F2F2"/>
    <w:lvl w:ilvl="0" w:tplc="F58218C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5" w15:restartNumberingAfterBreak="0">
    <w:nsid w:val="7DCF3203"/>
    <w:multiLevelType w:val="hybridMultilevel"/>
    <w:tmpl w:val="1E7A8644"/>
    <w:lvl w:ilvl="0" w:tplc="E86C30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E9D1477"/>
    <w:multiLevelType w:val="hybridMultilevel"/>
    <w:tmpl w:val="AD2AB488"/>
    <w:lvl w:ilvl="0" w:tplc="2C3AFB0A">
      <w:start w:val="2"/>
      <w:numFmt w:val="decimal"/>
      <w:lvlText w:val="%1."/>
      <w:lvlJc w:val="left"/>
      <w:pPr>
        <w:tabs>
          <w:tab w:val="num" w:pos="1418"/>
        </w:tabs>
        <w:ind w:left="0" w:firstLine="0"/>
      </w:pPr>
      <w:rPr>
        <w:rFonts w:hint="default"/>
      </w:rPr>
    </w:lvl>
    <w:lvl w:ilvl="1" w:tplc="8C1C9294">
      <w:start w:val="1"/>
      <w:numFmt w:val="upperRoman"/>
      <w:pStyle w:val="Seo"/>
      <w:lvlText w:val="%2 -"/>
      <w:lvlJc w:val="left"/>
      <w:pPr>
        <w:tabs>
          <w:tab w:val="num" w:pos="570"/>
        </w:tabs>
        <w:ind w:left="1418" w:hanging="338"/>
      </w:pPr>
      <w:rPr>
        <w:rFonts w:ascii="Times New Roman" w:hAnsi="Times New Roman" w:hint="default"/>
        <w:b w:val="0"/>
        <w:i w:val="0"/>
        <w:sz w:val="24"/>
        <w:szCs w:val="24"/>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defaultTabStop w:val="720"/>
  <w:consecutiveHyphenLimit w:val="9"/>
  <w:hyphenationZone w:val="57"/>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F3D"/>
    <w:rsid w:val="00000735"/>
    <w:rsid w:val="00000CBE"/>
    <w:rsid w:val="00003273"/>
    <w:rsid w:val="00004F05"/>
    <w:rsid w:val="000107CF"/>
    <w:rsid w:val="00012EC8"/>
    <w:rsid w:val="00015583"/>
    <w:rsid w:val="0002067F"/>
    <w:rsid w:val="00037F6C"/>
    <w:rsid w:val="00042336"/>
    <w:rsid w:val="00046349"/>
    <w:rsid w:val="00052579"/>
    <w:rsid w:val="00052FB9"/>
    <w:rsid w:val="00055A6A"/>
    <w:rsid w:val="00062852"/>
    <w:rsid w:val="00065EB2"/>
    <w:rsid w:val="00075CBB"/>
    <w:rsid w:val="00076F3D"/>
    <w:rsid w:val="00080E69"/>
    <w:rsid w:val="000836AA"/>
    <w:rsid w:val="000841ED"/>
    <w:rsid w:val="00086865"/>
    <w:rsid w:val="000922F3"/>
    <w:rsid w:val="00096B19"/>
    <w:rsid w:val="000A170D"/>
    <w:rsid w:val="000A59F1"/>
    <w:rsid w:val="000A67F2"/>
    <w:rsid w:val="000C51D5"/>
    <w:rsid w:val="000C5E04"/>
    <w:rsid w:val="000D60F5"/>
    <w:rsid w:val="000E2B8F"/>
    <w:rsid w:val="000E338A"/>
    <w:rsid w:val="000E341C"/>
    <w:rsid w:val="000E403F"/>
    <w:rsid w:val="000E4E18"/>
    <w:rsid w:val="000E5528"/>
    <w:rsid w:val="000E5EF6"/>
    <w:rsid w:val="000F1073"/>
    <w:rsid w:val="000F14B9"/>
    <w:rsid w:val="000F63AD"/>
    <w:rsid w:val="001034CB"/>
    <w:rsid w:val="00103A9C"/>
    <w:rsid w:val="00112EF9"/>
    <w:rsid w:val="00113748"/>
    <w:rsid w:val="001175F8"/>
    <w:rsid w:val="001274DD"/>
    <w:rsid w:val="00135CC0"/>
    <w:rsid w:val="0014200F"/>
    <w:rsid w:val="001433E0"/>
    <w:rsid w:val="001512D5"/>
    <w:rsid w:val="00151E5D"/>
    <w:rsid w:val="00154EC7"/>
    <w:rsid w:val="001643AE"/>
    <w:rsid w:val="00170C08"/>
    <w:rsid w:val="00175D57"/>
    <w:rsid w:val="00186262"/>
    <w:rsid w:val="0019186E"/>
    <w:rsid w:val="00194B9C"/>
    <w:rsid w:val="00197CF2"/>
    <w:rsid w:val="001C745C"/>
    <w:rsid w:val="001D5AFF"/>
    <w:rsid w:val="001E4DF8"/>
    <w:rsid w:val="001F72C1"/>
    <w:rsid w:val="00201983"/>
    <w:rsid w:val="00207853"/>
    <w:rsid w:val="002160A8"/>
    <w:rsid w:val="002224DA"/>
    <w:rsid w:val="002236D2"/>
    <w:rsid w:val="00225917"/>
    <w:rsid w:val="00225FA6"/>
    <w:rsid w:val="0023302A"/>
    <w:rsid w:val="00242767"/>
    <w:rsid w:val="0024736C"/>
    <w:rsid w:val="00247DBC"/>
    <w:rsid w:val="0026636D"/>
    <w:rsid w:val="00276B13"/>
    <w:rsid w:val="00293910"/>
    <w:rsid w:val="00296714"/>
    <w:rsid w:val="002977BA"/>
    <w:rsid w:val="002A2F91"/>
    <w:rsid w:val="002A374C"/>
    <w:rsid w:val="002A6673"/>
    <w:rsid w:val="002A6D60"/>
    <w:rsid w:val="002B040C"/>
    <w:rsid w:val="002B5B1D"/>
    <w:rsid w:val="002C2EDF"/>
    <w:rsid w:val="002E65B8"/>
    <w:rsid w:val="002F1BF8"/>
    <w:rsid w:val="002F610E"/>
    <w:rsid w:val="003149DF"/>
    <w:rsid w:val="00320723"/>
    <w:rsid w:val="003220B7"/>
    <w:rsid w:val="003360AF"/>
    <w:rsid w:val="00340F56"/>
    <w:rsid w:val="00341AEE"/>
    <w:rsid w:val="003456EE"/>
    <w:rsid w:val="00350426"/>
    <w:rsid w:val="00350C5E"/>
    <w:rsid w:val="00371CAC"/>
    <w:rsid w:val="00374A67"/>
    <w:rsid w:val="00375223"/>
    <w:rsid w:val="00384C7D"/>
    <w:rsid w:val="00392663"/>
    <w:rsid w:val="00393DBF"/>
    <w:rsid w:val="003B0B0B"/>
    <w:rsid w:val="003B0C7F"/>
    <w:rsid w:val="003B2CDD"/>
    <w:rsid w:val="003B37B4"/>
    <w:rsid w:val="003B37C7"/>
    <w:rsid w:val="003B39FC"/>
    <w:rsid w:val="003B3B9B"/>
    <w:rsid w:val="003C3BD7"/>
    <w:rsid w:val="003C4DBC"/>
    <w:rsid w:val="003C6220"/>
    <w:rsid w:val="003D51DC"/>
    <w:rsid w:val="003E0881"/>
    <w:rsid w:val="003E548D"/>
    <w:rsid w:val="003E5620"/>
    <w:rsid w:val="003E6717"/>
    <w:rsid w:val="003F1072"/>
    <w:rsid w:val="00401975"/>
    <w:rsid w:val="004139F3"/>
    <w:rsid w:val="004165DE"/>
    <w:rsid w:val="0042234D"/>
    <w:rsid w:val="00427FD3"/>
    <w:rsid w:val="00443D0D"/>
    <w:rsid w:val="00445424"/>
    <w:rsid w:val="00466975"/>
    <w:rsid w:val="00470DCC"/>
    <w:rsid w:val="004743E8"/>
    <w:rsid w:val="0047622C"/>
    <w:rsid w:val="00481517"/>
    <w:rsid w:val="00484E98"/>
    <w:rsid w:val="00486468"/>
    <w:rsid w:val="004918E7"/>
    <w:rsid w:val="00491BB1"/>
    <w:rsid w:val="004B0545"/>
    <w:rsid w:val="004B0BFB"/>
    <w:rsid w:val="004B30D8"/>
    <w:rsid w:val="004C03E3"/>
    <w:rsid w:val="004C0C82"/>
    <w:rsid w:val="004C5233"/>
    <w:rsid w:val="004D1E25"/>
    <w:rsid w:val="004D69E4"/>
    <w:rsid w:val="004E000F"/>
    <w:rsid w:val="004E1D09"/>
    <w:rsid w:val="004E3711"/>
    <w:rsid w:val="004E663C"/>
    <w:rsid w:val="004F2582"/>
    <w:rsid w:val="004F370E"/>
    <w:rsid w:val="0050005B"/>
    <w:rsid w:val="00501647"/>
    <w:rsid w:val="00514D9B"/>
    <w:rsid w:val="00524163"/>
    <w:rsid w:val="0052766C"/>
    <w:rsid w:val="00531E6B"/>
    <w:rsid w:val="005415B8"/>
    <w:rsid w:val="00541AFE"/>
    <w:rsid w:val="00560D8F"/>
    <w:rsid w:val="00562EBF"/>
    <w:rsid w:val="005656BD"/>
    <w:rsid w:val="00571065"/>
    <w:rsid w:val="0057387D"/>
    <w:rsid w:val="00580173"/>
    <w:rsid w:val="0058477B"/>
    <w:rsid w:val="005849A5"/>
    <w:rsid w:val="00586F82"/>
    <w:rsid w:val="00587589"/>
    <w:rsid w:val="00590562"/>
    <w:rsid w:val="0059326F"/>
    <w:rsid w:val="00593D8D"/>
    <w:rsid w:val="0059582C"/>
    <w:rsid w:val="00595DAB"/>
    <w:rsid w:val="005A015F"/>
    <w:rsid w:val="005B2CE5"/>
    <w:rsid w:val="005C48BF"/>
    <w:rsid w:val="005C5664"/>
    <w:rsid w:val="005C5AD7"/>
    <w:rsid w:val="005C6276"/>
    <w:rsid w:val="005D249D"/>
    <w:rsid w:val="005D73D1"/>
    <w:rsid w:val="005F0554"/>
    <w:rsid w:val="006071B6"/>
    <w:rsid w:val="00617C3D"/>
    <w:rsid w:val="00644E5D"/>
    <w:rsid w:val="00646DF7"/>
    <w:rsid w:val="006551CF"/>
    <w:rsid w:val="0065729D"/>
    <w:rsid w:val="0066108F"/>
    <w:rsid w:val="006712E4"/>
    <w:rsid w:val="00680615"/>
    <w:rsid w:val="00686780"/>
    <w:rsid w:val="006975F8"/>
    <w:rsid w:val="006A5749"/>
    <w:rsid w:val="006A782B"/>
    <w:rsid w:val="006B2FEA"/>
    <w:rsid w:val="006C48A4"/>
    <w:rsid w:val="006D4DF9"/>
    <w:rsid w:val="006E2048"/>
    <w:rsid w:val="006E4E77"/>
    <w:rsid w:val="006F72D6"/>
    <w:rsid w:val="007150E2"/>
    <w:rsid w:val="0072686C"/>
    <w:rsid w:val="00726C94"/>
    <w:rsid w:val="00740347"/>
    <w:rsid w:val="00741148"/>
    <w:rsid w:val="00741673"/>
    <w:rsid w:val="00744C4A"/>
    <w:rsid w:val="007464B4"/>
    <w:rsid w:val="00752072"/>
    <w:rsid w:val="00760B1B"/>
    <w:rsid w:val="00760DAE"/>
    <w:rsid w:val="00764D1B"/>
    <w:rsid w:val="00774E06"/>
    <w:rsid w:val="00777302"/>
    <w:rsid w:val="00784587"/>
    <w:rsid w:val="00785FF1"/>
    <w:rsid w:val="007864A0"/>
    <w:rsid w:val="00787D94"/>
    <w:rsid w:val="00791241"/>
    <w:rsid w:val="00795BAA"/>
    <w:rsid w:val="007A1E18"/>
    <w:rsid w:val="007A29E0"/>
    <w:rsid w:val="007A31BD"/>
    <w:rsid w:val="007A3C42"/>
    <w:rsid w:val="007B0337"/>
    <w:rsid w:val="007B7385"/>
    <w:rsid w:val="007E2722"/>
    <w:rsid w:val="007E5DC4"/>
    <w:rsid w:val="007F4D64"/>
    <w:rsid w:val="007F4E95"/>
    <w:rsid w:val="007F69EC"/>
    <w:rsid w:val="00803591"/>
    <w:rsid w:val="00810142"/>
    <w:rsid w:val="008156BE"/>
    <w:rsid w:val="00817C66"/>
    <w:rsid w:val="00820FB1"/>
    <w:rsid w:val="008213DD"/>
    <w:rsid w:val="008241E2"/>
    <w:rsid w:val="008249D5"/>
    <w:rsid w:val="0082543D"/>
    <w:rsid w:val="00830417"/>
    <w:rsid w:val="00846107"/>
    <w:rsid w:val="00853E36"/>
    <w:rsid w:val="008579A6"/>
    <w:rsid w:val="0086652B"/>
    <w:rsid w:val="008668FD"/>
    <w:rsid w:val="00874904"/>
    <w:rsid w:val="00876BB0"/>
    <w:rsid w:val="00882329"/>
    <w:rsid w:val="008828C6"/>
    <w:rsid w:val="00886A1C"/>
    <w:rsid w:val="00887805"/>
    <w:rsid w:val="008932F0"/>
    <w:rsid w:val="0089720B"/>
    <w:rsid w:val="008B09F8"/>
    <w:rsid w:val="008B5CEF"/>
    <w:rsid w:val="008B7B8D"/>
    <w:rsid w:val="008C0899"/>
    <w:rsid w:val="008C0D51"/>
    <w:rsid w:val="008C541F"/>
    <w:rsid w:val="008D1F3B"/>
    <w:rsid w:val="008D3B38"/>
    <w:rsid w:val="008E43C0"/>
    <w:rsid w:val="009053A3"/>
    <w:rsid w:val="00910B5F"/>
    <w:rsid w:val="00912988"/>
    <w:rsid w:val="00913B58"/>
    <w:rsid w:val="009229D2"/>
    <w:rsid w:val="009237C4"/>
    <w:rsid w:val="00926395"/>
    <w:rsid w:val="00926D5A"/>
    <w:rsid w:val="00930A8F"/>
    <w:rsid w:val="009379EC"/>
    <w:rsid w:val="00941CF0"/>
    <w:rsid w:val="00942343"/>
    <w:rsid w:val="009534CE"/>
    <w:rsid w:val="00954A44"/>
    <w:rsid w:val="009573D8"/>
    <w:rsid w:val="00965493"/>
    <w:rsid w:val="00971A76"/>
    <w:rsid w:val="00974C31"/>
    <w:rsid w:val="00980A70"/>
    <w:rsid w:val="00983927"/>
    <w:rsid w:val="00993007"/>
    <w:rsid w:val="009A257E"/>
    <w:rsid w:val="009A2A31"/>
    <w:rsid w:val="009A49B5"/>
    <w:rsid w:val="009A7BC0"/>
    <w:rsid w:val="009B22D0"/>
    <w:rsid w:val="009B3DFA"/>
    <w:rsid w:val="009C784A"/>
    <w:rsid w:val="009E47DA"/>
    <w:rsid w:val="009F1D4D"/>
    <w:rsid w:val="00A020D7"/>
    <w:rsid w:val="00A03980"/>
    <w:rsid w:val="00A13F6F"/>
    <w:rsid w:val="00A15070"/>
    <w:rsid w:val="00A201B4"/>
    <w:rsid w:val="00A24D2C"/>
    <w:rsid w:val="00A27BE3"/>
    <w:rsid w:val="00A473EB"/>
    <w:rsid w:val="00A60272"/>
    <w:rsid w:val="00A612D2"/>
    <w:rsid w:val="00A64B3E"/>
    <w:rsid w:val="00A6509F"/>
    <w:rsid w:val="00A71673"/>
    <w:rsid w:val="00A7195D"/>
    <w:rsid w:val="00A73267"/>
    <w:rsid w:val="00A76E24"/>
    <w:rsid w:val="00A84A4A"/>
    <w:rsid w:val="00A87B3A"/>
    <w:rsid w:val="00A9452D"/>
    <w:rsid w:val="00AA4844"/>
    <w:rsid w:val="00AB006B"/>
    <w:rsid w:val="00AB4EAA"/>
    <w:rsid w:val="00AB4FB3"/>
    <w:rsid w:val="00AD0E9B"/>
    <w:rsid w:val="00AD6FC5"/>
    <w:rsid w:val="00AD774A"/>
    <w:rsid w:val="00AE06FC"/>
    <w:rsid w:val="00B024B6"/>
    <w:rsid w:val="00B121C0"/>
    <w:rsid w:val="00B157E7"/>
    <w:rsid w:val="00B2157E"/>
    <w:rsid w:val="00B21ADA"/>
    <w:rsid w:val="00B2797B"/>
    <w:rsid w:val="00B45B26"/>
    <w:rsid w:val="00B5487E"/>
    <w:rsid w:val="00B64D7A"/>
    <w:rsid w:val="00B65062"/>
    <w:rsid w:val="00B670D4"/>
    <w:rsid w:val="00B67C07"/>
    <w:rsid w:val="00B70329"/>
    <w:rsid w:val="00B71EB1"/>
    <w:rsid w:val="00B7614E"/>
    <w:rsid w:val="00B84FBC"/>
    <w:rsid w:val="00B86C14"/>
    <w:rsid w:val="00BB020D"/>
    <w:rsid w:val="00BB2B6E"/>
    <w:rsid w:val="00BC4EC9"/>
    <w:rsid w:val="00BD723B"/>
    <w:rsid w:val="00BE142E"/>
    <w:rsid w:val="00BF2B33"/>
    <w:rsid w:val="00C061ED"/>
    <w:rsid w:val="00C10718"/>
    <w:rsid w:val="00C20AB5"/>
    <w:rsid w:val="00C31511"/>
    <w:rsid w:val="00C3507A"/>
    <w:rsid w:val="00C35C7F"/>
    <w:rsid w:val="00C36387"/>
    <w:rsid w:val="00C44346"/>
    <w:rsid w:val="00C52375"/>
    <w:rsid w:val="00C6639D"/>
    <w:rsid w:val="00C7431E"/>
    <w:rsid w:val="00C81F29"/>
    <w:rsid w:val="00C81F3C"/>
    <w:rsid w:val="00C84A19"/>
    <w:rsid w:val="00C94C30"/>
    <w:rsid w:val="00C97F23"/>
    <w:rsid w:val="00CA00CB"/>
    <w:rsid w:val="00CB451C"/>
    <w:rsid w:val="00CC243C"/>
    <w:rsid w:val="00CC7F21"/>
    <w:rsid w:val="00CD40CD"/>
    <w:rsid w:val="00CD7283"/>
    <w:rsid w:val="00CF10B8"/>
    <w:rsid w:val="00CF2163"/>
    <w:rsid w:val="00D00293"/>
    <w:rsid w:val="00D0101B"/>
    <w:rsid w:val="00D0145C"/>
    <w:rsid w:val="00D019BC"/>
    <w:rsid w:val="00D13A3E"/>
    <w:rsid w:val="00D25A9F"/>
    <w:rsid w:val="00D3105B"/>
    <w:rsid w:val="00D3293D"/>
    <w:rsid w:val="00D35AB8"/>
    <w:rsid w:val="00D4002A"/>
    <w:rsid w:val="00D415B7"/>
    <w:rsid w:val="00D4386B"/>
    <w:rsid w:val="00D62A1A"/>
    <w:rsid w:val="00D65B1E"/>
    <w:rsid w:val="00D6768B"/>
    <w:rsid w:val="00D67FCD"/>
    <w:rsid w:val="00D7296C"/>
    <w:rsid w:val="00D73C0D"/>
    <w:rsid w:val="00D77922"/>
    <w:rsid w:val="00D81359"/>
    <w:rsid w:val="00DB2618"/>
    <w:rsid w:val="00DB693F"/>
    <w:rsid w:val="00DC02EC"/>
    <w:rsid w:val="00DC10D5"/>
    <w:rsid w:val="00DC2D07"/>
    <w:rsid w:val="00DC63CF"/>
    <w:rsid w:val="00DD01E1"/>
    <w:rsid w:val="00DD0787"/>
    <w:rsid w:val="00DD2628"/>
    <w:rsid w:val="00DD2C84"/>
    <w:rsid w:val="00DE12D1"/>
    <w:rsid w:val="00DE5E47"/>
    <w:rsid w:val="00DE7DEB"/>
    <w:rsid w:val="00DF0085"/>
    <w:rsid w:val="00DF0C93"/>
    <w:rsid w:val="00DF5610"/>
    <w:rsid w:val="00E10542"/>
    <w:rsid w:val="00E12DFF"/>
    <w:rsid w:val="00E167F5"/>
    <w:rsid w:val="00E16D25"/>
    <w:rsid w:val="00E20037"/>
    <w:rsid w:val="00E2121C"/>
    <w:rsid w:val="00E26976"/>
    <w:rsid w:val="00E30CDC"/>
    <w:rsid w:val="00E40389"/>
    <w:rsid w:val="00E43E0C"/>
    <w:rsid w:val="00E51F69"/>
    <w:rsid w:val="00E545E2"/>
    <w:rsid w:val="00E60FC4"/>
    <w:rsid w:val="00E71AED"/>
    <w:rsid w:val="00E73196"/>
    <w:rsid w:val="00E81187"/>
    <w:rsid w:val="00E90141"/>
    <w:rsid w:val="00EA3636"/>
    <w:rsid w:val="00EB0A8A"/>
    <w:rsid w:val="00EB0B9C"/>
    <w:rsid w:val="00EB2D5A"/>
    <w:rsid w:val="00EB4B80"/>
    <w:rsid w:val="00EB58A3"/>
    <w:rsid w:val="00EC5274"/>
    <w:rsid w:val="00EC5AAF"/>
    <w:rsid w:val="00EC5F08"/>
    <w:rsid w:val="00ED5ECE"/>
    <w:rsid w:val="00EF6A76"/>
    <w:rsid w:val="00F03A9E"/>
    <w:rsid w:val="00F14689"/>
    <w:rsid w:val="00F201B9"/>
    <w:rsid w:val="00F30577"/>
    <w:rsid w:val="00F3097E"/>
    <w:rsid w:val="00F32F19"/>
    <w:rsid w:val="00F350AC"/>
    <w:rsid w:val="00F410AA"/>
    <w:rsid w:val="00F43F4B"/>
    <w:rsid w:val="00F45BCB"/>
    <w:rsid w:val="00F4682E"/>
    <w:rsid w:val="00F81CEF"/>
    <w:rsid w:val="00F828CE"/>
    <w:rsid w:val="00F86D1F"/>
    <w:rsid w:val="00F87662"/>
    <w:rsid w:val="00F91FF5"/>
    <w:rsid w:val="00F969E1"/>
    <w:rsid w:val="00F97947"/>
    <w:rsid w:val="00FA3F0B"/>
    <w:rsid w:val="00FB5AB8"/>
    <w:rsid w:val="00FC064F"/>
    <w:rsid w:val="00FC1403"/>
    <w:rsid w:val="00FC5621"/>
    <w:rsid w:val="00FD201E"/>
    <w:rsid w:val="00FD3350"/>
    <w:rsid w:val="00FE5336"/>
    <w:rsid w:val="00FF4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808307"/>
  <w15:docId w15:val="{76070DE4-D39A-4552-9F2A-26F6BE14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jc w:val="both"/>
      <w:outlineLvl w:val="0"/>
    </w:pPr>
    <w:rPr>
      <w:rFonts w:eastAsia="MS Mincho"/>
      <w:b/>
      <w:bCs/>
      <w:sz w:val="32"/>
    </w:rPr>
  </w:style>
  <w:style w:type="paragraph" w:styleId="Ttulo2">
    <w:name w:val="heading 2"/>
    <w:basedOn w:val="Normal"/>
    <w:next w:val="Normal"/>
    <w:qFormat/>
    <w:pPr>
      <w:keepNext/>
      <w:tabs>
        <w:tab w:val="left" w:pos="1080"/>
        <w:tab w:val="left" w:pos="8789"/>
      </w:tabs>
      <w:autoSpaceDE w:val="0"/>
      <w:autoSpaceDN w:val="0"/>
      <w:adjustRightInd w:val="0"/>
      <w:ind w:left="284"/>
      <w:jc w:val="both"/>
      <w:outlineLvl w:val="1"/>
    </w:pPr>
    <w:rPr>
      <w:b/>
      <w:bCs/>
    </w:rPr>
  </w:style>
  <w:style w:type="paragraph" w:styleId="Ttulo3">
    <w:name w:val="heading 3"/>
    <w:basedOn w:val="Normal"/>
    <w:next w:val="Normal"/>
    <w:qFormat/>
    <w:pPr>
      <w:keepNext/>
      <w:ind w:left="284"/>
      <w:outlineLvl w:val="2"/>
    </w:pPr>
    <w:rPr>
      <w:b/>
      <w:bCs/>
    </w:rPr>
  </w:style>
  <w:style w:type="paragraph" w:styleId="Ttulo4">
    <w:name w:val="heading 4"/>
    <w:basedOn w:val="Normal"/>
    <w:next w:val="Normal"/>
    <w:qFormat/>
    <w:pPr>
      <w:keepNext/>
      <w:outlineLvl w:val="3"/>
    </w:pPr>
    <w:rPr>
      <w:b/>
      <w:bCs/>
      <w:color w:val="000000"/>
    </w:rPr>
  </w:style>
  <w:style w:type="paragraph" w:styleId="Ttulo5">
    <w:name w:val="heading 5"/>
    <w:basedOn w:val="Normal"/>
    <w:next w:val="Normal"/>
    <w:qFormat/>
    <w:pPr>
      <w:keepNext/>
      <w:outlineLvl w:val="4"/>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customStyle="1" w:styleId="ementa">
    <w:name w:val="ementa"/>
    <w:next w:val="Normal"/>
    <w:autoRedefine/>
    <w:pPr>
      <w:ind w:left="5103"/>
      <w:jc w:val="both"/>
    </w:pPr>
    <w:rPr>
      <w:sz w:val="24"/>
    </w:rPr>
  </w:style>
  <w:style w:type="paragraph" w:customStyle="1" w:styleId="ttulo">
    <w:name w:val="título"/>
    <w:next w:val="ementa"/>
    <w:autoRedefine/>
    <w:pPr>
      <w:jc w:val="center"/>
    </w:pPr>
    <w:rPr>
      <w:smallCaps/>
    </w:rPr>
  </w:style>
  <w:style w:type="paragraph" w:styleId="Ttulo0">
    <w:name w:val="Title"/>
    <w:basedOn w:val="Normal"/>
    <w:qFormat/>
    <w:pPr>
      <w:tabs>
        <w:tab w:val="left" w:pos="1418"/>
        <w:tab w:val="left" w:pos="1701"/>
      </w:tabs>
      <w:jc w:val="center"/>
    </w:pPr>
    <w:rPr>
      <w:sz w:val="24"/>
    </w:rPr>
  </w:style>
  <w:style w:type="paragraph" w:styleId="Recuodecorpodetexto">
    <w:name w:val="Body Text Indent"/>
    <w:basedOn w:val="Normal"/>
    <w:semiHidden/>
    <w:pPr>
      <w:tabs>
        <w:tab w:val="left" w:pos="1418"/>
        <w:tab w:val="left" w:pos="1701"/>
      </w:tabs>
      <w:ind w:left="5103"/>
      <w:jc w:val="both"/>
    </w:pPr>
    <w:rPr>
      <w:sz w:val="24"/>
    </w:rPr>
  </w:style>
  <w:style w:type="paragraph" w:customStyle="1" w:styleId="fecho">
    <w:name w:val="fecho"/>
    <w:basedOn w:val="Normal"/>
    <w:next w:val="Normal"/>
    <w:pPr>
      <w:tabs>
        <w:tab w:val="left" w:pos="1418"/>
      </w:tabs>
      <w:ind w:left="5103"/>
      <w:jc w:val="both"/>
    </w:pPr>
    <w:rPr>
      <w:sz w:val="24"/>
    </w:rPr>
  </w:style>
  <w:style w:type="paragraph" w:customStyle="1" w:styleId="Ementa0">
    <w:name w:val="Ementa"/>
    <w:basedOn w:val="Normal"/>
    <w:next w:val="Normal"/>
    <w:pPr>
      <w:spacing w:after="360"/>
      <w:ind w:left="5103"/>
      <w:jc w:val="both"/>
    </w:pPr>
    <w:rPr>
      <w:sz w:val="24"/>
    </w:rPr>
  </w:style>
  <w:style w:type="paragraph" w:customStyle="1" w:styleId="Epgrafe">
    <w:name w:val="Epígrafe"/>
    <w:next w:val="Ementa0"/>
    <w:pPr>
      <w:widowControl w:val="0"/>
      <w:numPr>
        <w:numId w:val="2"/>
      </w:numPr>
      <w:tabs>
        <w:tab w:val="clear" w:pos="1800"/>
      </w:tabs>
      <w:spacing w:after="360"/>
      <w:jc w:val="center"/>
      <w:outlineLvl w:val="0"/>
    </w:pPr>
    <w:rPr>
      <w:noProof/>
      <w:sz w:val="24"/>
    </w:rPr>
  </w:style>
  <w:style w:type="paragraph" w:customStyle="1" w:styleId="Linha">
    <w:name w:val="Linha"/>
    <w:basedOn w:val="Normal"/>
    <w:next w:val="Normal"/>
    <w:pPr>
      <w:tabs>
        <w:tab w:val="right" w:leader="underscore" w:pos="10206"/>
      </w:tabs>
      <w:jc w:val="both"/>
    </w:pPr>
    <w:rPr>
      <w:sz w:val="24"/>
    </w:rPr>
  </w:style>
  <w:style w:type="paragraph" w:customStyle="1" w:styleId="Rodap29">
    <w:name w:val="Rodapé29"/>
    <w:basedOn w:val="Normal"/>
    <w:pPr>
      <w:jc w:val="both"/>
    </w:pPr>
    <w:rPr>
      <w:sz w:val="24"/>
    </w:rPr>
  </w:style>
  <w:style w:type="paragraph" w:styleId="Recuodecorpodetexto2">
    <w:name w:val="Body Text Indent 2"/>
    <w:basedOn w:val="Normal"/>
    <w:semiHidden/>
    <w:pPr>
      <w:tabs>
        <w:tab w:val="left" w:pos="1418"/>
      </w:tabs>
      <w:ind w:firstLine="1416"/>
      <w:jc w:val="both"/>
    </w:pPr>
    <w:rPr>
      <w:sz w:val="24"/>
      <w:lang w:val="es-ES_tradnl"/>
    </w:rPr>
  </w:style>
  <w:style w:type="paragraph" w:styleId="Corpodetexto2">
    <w:name w:val="Body Text 2"/>
    <w:basedOn w:val="Normal"/>
    <w:semiHidden/>
    <w:pPr>
      <w:ind w:right="453"/>
      <w:jc w:val="both"/>
    </w:pPr>
    <w:rPr>
      <w:rFonts w:eastAsia="MS Mincho"/>
      <w:sz w:val="24"/>
    </w:rPr>
  </w:style>
  <w:style w:type="paragraph" w:styleId="Recuodecorpodetexto3">
    <w:name w:val="Body Text Indent 3"/>
    <w:basedOn w:val="Normal"/>
    <w:link w:val="Recuodecorpodetexto3Char"/>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expandido">
    <w:name w:val="expandido"/>
    <w:next w:val="Normal"/>
    <w:pPr>
      <w:tabs>
        <w:tab w:val="left" w:pos="1418"/>
      </w:tabs>
    </w:pPr>
    <w:rPr>
      <w:sz w:val="24"/>
    </w:rPr>
  </w:style>
  <w:style w:type="paragraph" w:customStyle="1" w:styleId="citao">
    <w:name w:val="citação"/>
    <w:pPr>
      <w:tabs>
        <w:tab w:val="right" w:leader="dot" w:pos="10206"/>
      </w:tabs>
      <w:ind w:left="709" w:firstLine="709"/>
      <w:jc w:val="both"/>
    </w:pPr>
    <w:rPr>
      <w:sz w:val="24"/>
    </w:rPr>
  </w:style>
  <w:style w:type="paragraph" w:customStyle="1" w:styleId="Artigo">
    <w:name w:val="Artigo"/>
    <w:basedOn w:val="parag"/>
    <w:autoRedefine/>
    <w:pPr>
      <w:numPr>
        <w:numId w:val="3"/>
      </w:numPr>
      <w:suppressLineNumbers/>
      <w:tabs>
        <w:tab w:val="clear" w:pos="1418"/>
        <w:tab w:val="left" w:pos="1701"/>
      </w:tabs>
      <w:spacing w:after="240"/>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customStyle="1" w:styleId="texto1">
    <w:name w:val="texto1"/>
    <w:basedOn w:val="Normal"/>
    <w:pPr>
      <w:spacing w:before="100" w:beforeAutospacing="1" w:after="100" w:afterAutospacing="1"/>
    </w:pPr>
    <w:rPr>
      <w:sz w:val="24"/>
      <w:szCs w:val="24"/>
    </w:rPr>
  </w:style>
  <w:style w:type="paragraph" w:styleId="Corpodetexto3">
    <w:name w:val="Body Text 3"/>
    <w:basedOn w:val="Normal"/>
    <w:link w:val="Corpodetexto3Char"/>
    <w:semiHidden/>
    <w:pPr>
      <w:tabs>
        <w:tab w:val="left" w:pos="1260"/>
      </w:tabs>
    </w:pPr>
    <w:rPr>
      <w:color w:val="000000"/>
    </w:rPr>
  </w:style>
  <w:style w:type="paragraph" w:customStyle="1" w:styleId="vocativo">
    <w:name w:val="vocativo"/>
    <w:pPr>
      <w:widowControl w:val="0"/>
      <w:suppressAutoHyphens/>
      <w:spacing w:after="240" w:line="360" w:lineRule="auto"/>
      <w:jc w:val="both"/>
    </w:pPr>
    <w:rPr>
      <w:rFonts w:ascii="Arial" w:hAnsi="Arial"/>
      <w:sz w:val="24"/>
      <w:lang w:eastAsia="ar-SA"/>
    </w:rPr>
  </w:style>
  <w:style w:type="paragraph" w:customStyle="1" w:styleId="Seo">
    <w:name w:val="Seção"/>
    <w:basedOn w:val="Normal"/>
    <w:pPr>
      <w:numPr>
        <w:ilvl w:val="1"/>
        <w:numId w:val="4"/>
      </w:numPr>
      <w:overflowPunct w:val="0"/>
      <w:autoSpaceDE w:val="0"/>
      <w:autoSpaceDN w:val="0"/>
      <w:adjustRightInd w:val="0"/>
      <w:textAlignment w:val="baseline"/>
    </w:pPr>
    <w:rPr>
      <w:rFonts w:ascii="Arial" w:hAnsi="Arial"/>
      <w:sz w:val="24"/>
    </w:rPr>
  </w:style>
  <w:style w:type="paragraph" w:styleId="Textodebalo">
    <w:name w:val="Balloon Text"/>
    <w:basedOn w:val="Normal"/>
    <w:link w:val="TextodebaloChar"/>
    <w:uiPriority w:val="99"/>
    <w:semiHidden/>
    <w:unhideWhenUsed/>
    <w:rsid w:val="00590562"/>
    <w:rPr>
      <w:rFonts w:ascii="Tahoma" w:hAnsi="Tahoma" w:cs="Tahoma"/>
      <w:sz w:val="16"/>
      <w:szCs w:val="16"/>
    </w:rPr>
  </w:style>
  <w:style w:type="character" w:customStyle="1" w:styleId="TextodebaloChar">
    <w:name w:val="Texto de balão Char"/>
    <w:basedOn w:val="Fontepargpadro"/>
    <w:link w:val="Textodebalo"/>
    <w:uiPriority w:val="99"/>
    <w:semiHidden/>
    <w:rsid w:val="00590562"/>
    <w:rPr>
      <w:rFonts w:ascii="Tahoma" w:hAnsi="Tahoma" w:cs="Tahoma"/>
      <w:sz w:val="16"/>
      <w:szCs w:val="16"/>
    </w:rPr>
  </w:style>
  <w:style w:type="character" w:customStyle="1" w:styleId="Recuodecorpodetexto3Char">
    <w:name w:val="Recuo de corpo de texto 3 Char"/>
    <w:basedOn w:val="Fontepargpadro"/>
    <w:link w:val="Recuodecorpodetexto3"/>
    <w:semiHidden/>
    <w:rsid w:val="00587589"/>
  </w:style>
  <w:style w:type="character" w:customStyle="1" w:styleId="Corpodetexto3Char">
    <w:name w:val="Corpo de texto 3 Char"/>
    <w:basedOn w:val="Fontepargpadro"/>
    <w:link w:val="Corpodetexto3"/>
    <w:semiHidden/>
    <w:rsid w:val="002236D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MCR.dot</Template>
  <TotalTime>76</TotalTime>
  <Pages>2</Pages>
  <Words>1385</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Claudio Baruzzi</cp:lastModifiedBy>
  <cp:revision>64</cp:revision>
  <cp:lastPrinted>2011-07-15T13:56:00Z</cp:lastPrinted>
  <dcterms:created xsi:type="dcterms:W3CDTF">2014-07-23T14:17:00Z</dcterms:created>
  <dcterms:modified xsi:type="dcterms:W3CDTF">2021-05-02T17:17:00Z</dcterms:modified>
</cp:coreProperties>
</file>