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E1A3" w14:textId="77777777" w:rsidR="006C2C6B" w:rsidRPr="006D34D4" w:rsidRDefault="006C2C6B" w:rsidP="006C2C6B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6D34D4">
        <w:t>TÍTULO</w:t>
      </w:r>
      <w:r w:rsidRPr="006D34D4">
        <w:tab/>
        <w:t>: CRÉDITO RURAL</w:t>
      </w:r>
      <w:r w:rsidRPr="006D34D4">
        <w:tab/>
      </w:r>
      <w:r w:rsidRPr="006D34D4">
        <w:fldChar w:fldCharType="begin"/>
      </w:r>
      <w:r w:rsidRPr="006D34D4">
        <w:instrText xml:space="preserve"> PAGE  \* MERGEFORMAT </w:instrText>
      </w:r>
      <w:r w:rsidRPr="006D34D4">
        <w:fldChar w:fldCharType="separate"/>
      </w:r>
      <w:r w:rsidRPr="006D34D4">
        <w:rPr>
          <w:noProof/>
        </w:rPr>
        <w:t>1</w:t>
      </w:r>
      <w:r w:rsidRPr="006D34D4">
        <w:rPr>
          <w:noProof/>
        </w:rPr>
        <w:fldChar w:fldCharType="end"/>
      </w:r>
    </w:p>
    <w:p w14:paraId="01EDF778" w14:textId="77777777" w:rsidR="006C2C6B" w:rsidRPr="006D34D4" w:rsidRDefault="006C2C6B" w:rsidP="006C2C6B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6D34D4">
        <w:t>CAPÍTULO</w:t>
      </w:r>
      <w:r w:rsidRPr="006D34D4">
        <w:tab/>
        <w:t>: Fundo de Defesa da Economia Cafeeira (</w:t>
      </w:r>
      <w:proofErr w:type="spellStart"/>
      <w:r w:rsidRPr="006D34D4">
        <w:t>Funcafé</w:t>
      </w:r>
      <w:proofErr w:type="spellEnd"/>
      <w:r w:rsidRPr="006D34D4">
        <w:t>) - 9</w:t>
      </w:r>
    </w:p>
    <w:p w14:paraId="213B747D" w14:textId="73E1D465" w:rsidR="006C2C6B" w:rsidRPr="006D34D4" w:rsidRDefault="006C2C6B" w:rsidP="00442409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6D34D4">
        <w:t>SEÇÃO</w:t>
      </w:r>
      <w:r w:rsidRPr="006D34D4">
        <w:tab/>
        <w:t xml:space="preserve">: </w:t>
      </w:r>
      <w:r w:rsidR="001C5F48" w:rsidRPr="006D34D4">
        <w:t>Crédito de Custeio</w:t>
      </w:r>
      <w:r w:rsidRPr="006D34D4">
        <w:t xml:space="preserve"> </w:t>
      </w:r>
      <w:r w:rsidR="00383A25" w:rsidRPr="006D34D4">
        <w:t>-</w:t>
      </w:r>
      <w:r w:rsidRPr="006D34D4">
        <w:t xml:space="preserve"> 2</w:t>
      </w:r>
    </w:p>
    <w:p w14:paraId="00F0943E" w14:textId="77777777" w:rsidR="006C2C6B" w:rsidRPr="006D34D4" w:rsidRDefault="006C2C6B" w:rsidP="006C2C6B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6D34D4">
        <w:t>_____________________________________________________________________________________________</w:t>
      </w:r>
    </w:p>
    <w:p w14:paraId="2873B4D0" w14:textId="77777777" w:rsidR="006C2C6B" w:rsidRPr="006D34D4" w:rsidRDefault="006C2C6B" w:rsidP="006C2C6B">
      <w:pPr>
        <w:pStyle w:val="TextosemFormatao"/>
        <w:tabs>
          <w:tab w:val="left" w:pos="284"/>
          <w:tab w:val="right" w:pos="10064"/>
        </w:tabs>
        <w:rPr>
          <w:rFonts w:ascii="Times New Roman" w:hAnsi="Times New Roman"/>
        </w:rPr>
      </w:pPr>
    </w:p>
    <w:p w14:paraId="3FE52EB7" w14:textId="1092DCA0" w:rsidR="00442409" w:rsidRPr="006D34D4" w:rsidRDefault="00670148" w:rsidP="0071269E">
      <w:pPr>
        <w:pStyle w:val="Cabealho"/>
        <w:tabs>
          <w:tab w:val="clear" w:pos="4419"/>
          <w:tab w:val="clear" w:pos="8838"/>
          <w:tab w:val="right" w:pos="9923"/>
        </w:tabs>
        <w:ind w:left="284" w:hanging="284"/>
        <w:jc w:val="both"/>
      </w:pPr>
      <w:r w:rsidRPr="006D34D4">
        <w:t xml:space="preserve">1 </w:t>
      </w:r>
      <w:r w:rsidR="00A007DC" w:rsidRPr="006D34D4">
        <w:t xml:space="preserve">- </w:t>
      </w:r>
      <w:r w:rsidR="00442409" w:rsidRPr="006D34D4">
        <w:t>O Crédito de Custeio para a cultura de café está sujeito às condições da Seção Créditos de Custeio do Capítulo Operações e às seguintes condições específicas: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</w:t>
      </w:r>
      <w:r w:rsidR="001C009B" w:rsidRPr="006D34D4">
        <w:t xml:space="preserve">; Res CMN 5.021 </w:t>
      </w:r>
      <w:proofErr w:type="spellStart"/>
      <w:r w:rsidR="001C009B" w:rsidRPr="006D34D4">
        <w:t>art</w:t>
      </w:r>
      <w:proofErr w:type="spellEnd"/>
      <w:r w:rsidR="001C009B" w:rsidRPr="006D34D4">
        <w:t xml:space="preserve"> 5º</w:t>
      </w:r>
      <w:r w:rsidR="00C35451" w:rsidRPr="006D34D4">
        <w:t>)</w:t>
      </w:r>
    </w:p>
    <w:p w14:paraId="563E0ADB" w14:textId="5ABDB42A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a) beneficiários: cafeicultores e suas cooperativas de produção agropecuária;</w:t>
      </w:r>
      <w:r w:rsidR="001C009B" w:rsidRPr="006D34D4">
        <w:t xml:space="preserve"> (Res CMN 4.889 </w:t>
      </w:r>
      <w:proofErr w:type="spellStart"/>
      <w:r w:rsidR="001C009B" w:rsidRPr="006D34D4">
        <w:t>art</w:t>
      </w:r>
      <w:proofErr w:type="spellEnd"/>
      <w:r w:rsidR="001C009B" w:rsidRPr="006D34D4">
        <w:t xml:space="preserve"> 1º)</w:t>
      </w:r>
    </w:p>
    <w:p w14:paraId="25334E60" w14:textId="74CD58E4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b) itens financiáveis:</w:t>
      </w:r>
      <w:r w:rsidR="001B71CB" w:rsidRPr="006D34D4">
        <w:t xml:space="preserve"> (Res CMN 4.889 </w:t>
      </w:r>
      <w:proofErr w:type="spellStart"/>
      <w:r w:rsidR="001B71CB" w:rsidRPr="006D34D4">
        <w:t>art</w:t>
      </w:r>
      <w:proofErr w:type="spellEnd"/>
      <w:r w:rsidR="001B71CB" w:rsidRPr="006D34D4">
        <w:t xml:space="preserve"> 1º)</w:t>
      </w:r>
    </w:p>
    <w:p w14:paraId="3C52720C" w14:textId="77777777" w:rsidR="00442409" w:rsidRPr="006D34D4" w:rsidRDefault="00442409" w:rsidP="0071269E">
      <w:pPr>
        <w:tabs>
          <w:tab w:val="right" w:pos="9923"/>
        </w:tabs>
        <w:ind w:left="794" w:hanging="227"/>
        <w:jc w:val="both"/>
      </w:pPr>
      <w:r w:rsidRPr="006D34D4">
        <w:t xml:space="preserve">I - </w:t>
      </w:r>
      <w:proofErr w:type="gramStart"/>
      <w:r w:rsidRPr="006D34D4">
        <w:t>tratos</w:t>
      </w:r>
      <w:proofErr w:type="gramEnd"/>
      <w:r w:rsidRPr="006D34D4">
        <w:t xml:space="preserve"> culturais, colheita das lavouras, incluindo as despesas com a aquisição de insumos, mão de obra, operações com máquinas e equipamentos, arruação, transporte para o terreiro e secagem;</w:t>
      </w:r>
    </w:p>
    <w:p w14:paraId="41EE008A" w14:textId="77777777" w:rsidR="00442409" w:rsidRPr="006D34D4" w:rsidRDefault="00442409" w:rsidP="0071269E">
      <w:pPr>
        <w:tabs>
          <w:tab w:val="right" w:pos="9923"/>
        </w:tabs>
        <w:ind w:left="992" w:hanging="425"/>
        <w:jc w:val="both"/>
      </w:pPr>
      <w:r w:rsidRPr="006D34D4">
        <w:t xml:space="preserve">II - </w:t>
      </w:r>
      <w:proofErr w:type="gramStart"/>
      <w:r w:rsidRPr="006D34D4">
        <w:t>assistência</w:t>
      </w:r>
      <w:proofErr w:type="gramEnd"/>
      <w:r w:rsidRPr="006D34D4">
        <w:t xml:space="preserve"> técnica, prêmio do seguro rural e adicional do Programa de Garantia da Atividade Agropecuária (Proagro);</w:t>
      </w:r>
    </w:p>
    <w:p w14:paraId="6297813A" w14:textId="77777777" w:rsidR="00442409" w:rsidRPr="006D34D4" w:rsidRDefault="00442409" w:rsidP="0071269E">
      <w:pPr>
        <w:tabs>
          <w:tab w:val="right" w:pos="9923"/>
        </w:tabs>
        <w:ind w:left="851" w:hanging="284"/>
        <w:jc w:val="both"/>
      </w:pPr>
      <w:r w:rsidRPr="006D34D4">
        <w:t>III - aquisição antecipada de insumos, conforme o MCR 3-2-3-a-II, sendo que as cooperativas devem obedecer adicionalmente ao disposto na Seção Atendimento a Cooperados do Capítulo Créditos a Cooperativas de Produção Agropecuária, exceto quanto aos limites de crédito;</w:t>
      </w:r>
    </w:p>
    <w:p w14:paraId="694578C4" w14:textId="70D931B1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c) liberação do crédito: em parcelas, de acordo com o cronograma de execução dos tratos culturais e colheita;</w:t>
      </w:r>
      <w:r w:rsidR="001B71CB" w:rsidRPr="006D34D4">
        <w:t xml:space="preserve"> (Res CMN 4.889 </w:t>
      </w:r>
      <w:proofErr w:type="spellStart"/>
      <w:r w:rsidR="001B71CB" w:rsidRPr="006D34D4">
        <w:t>art</w:t>
      </w:r>
      <w:proofErr w:type="spellEnd"/>
      <w:r w:rsidR="001B71CB" w:rsidRPr="006D34D4">
        <w:t xml:space="preserve"> 1º)</w:t>
      </w:r>
    </w:p>
    <w:p w14:paraId="2936EA38" w14:textId="6DF117D2" w:rsidR="00442409" w:rsidRPr="006D34D4" w:rsidRDefault="00442409" w:rsidP="0071269E">
      <w:pPr>
        <w:tabs>
          <w:tab w:val="right" w:pos="9923"/>
        </w:tabs>
        <w:spacing w:after="120"/>
        <w:ind w:left="568" w:hanging="284"/>
        <w:jc w:val="both"/>
      </w:pPr>
      <w:r w:rsidRPr="006D34D4">
        <w:t xml:space="preserve">d) </w:t>
      </w:r>
      <w:r w:rsidR="001C009B" w:rsidRPr="006D34D4">
        <w:t>reembolso: em parcela única, até 60 (sessenta) dias corridos, contados da data para término da colheita constante do contrato de crédito, respeitado o prazo máximo disposto no MCR 3-2-13</w:t>
      </w:r>
      <w:proofErr w:type="gramStart"/>
      <w:r w:rsidR="001C009B" w:rsidRPr="006D34D4">
        <w:t>-“</w:t>
      </w:r>
      <w:proofErr w:type="gramEnd"/>
      <w:r w:rsidR="001C009B" w:rsidRPr="006D34D4">
        <w:t>a”-III, acrescida dos encargos financeiros devidos até a data do efetivo pagamento</w:t>
      </w:r>
      <w:r w:rsidRPr="006D34D4">
        <w:t>.</w:t>
      </w:r>
      <w:r w:rsidR="001C009B" w:rsidRPr="006D34D4">
        <w:t xml:space="preserve"> (Res CMN 5.021 </w:t>
      </w:r>
      <w:proofErr w:type="spellStart"/>
      <w:r w:rsidR="001C009B" w:rsidRPr="006D34D4">
        <w:t>art</w:t>
      </w:r>
      <w:proofErr w:type="spellEnd"/>
      <w:r w:rsidR="001C009B" w:rsidRPr="006D34D4">
        <w:t xml:space="preserve"> 5º)</w:t>
      </w:r>
      <w:r w:rsidR="001C009B" w:rsidRPr="006D34D4">
        <w:tab/>
        <w:t>(*)</w:t>
      </w:r>
    </w:p>
    <w:p w14:paraId="3AC43937" w14:textId="64582050" w:rsidR="00442409" w:rsidRPr="006D34D4" w:rsidRDefault="00442409" w:rsidP="0071269E">
      <w:pPr>
        <w:tabs>
          <w:tab w:val="right" w:pos="9923"/>
        </w:tabs>
        <w:spacing w:after="120"/>
        <w:ind w:left="284" w:hanging="284"/>
        <w:jc w:val="both"/>
      </w:pPr>
      <w:r w:rsidRPr="006D34D4">
        <w:t>2 - A instituição financeira, mediante solicitação do mutuário antes da data do vencimento da operação de custeio, pode converter essa operação em crédito de comercialização, observado o disposto no MCR 9-3-1</w:t>
      </w:r>
      <w:proofErr w:type="gramStart"/>
      <w:r w:rsidRPr="006D34D4">
        <w:t>-“</w:t>
      </w:r>
      <w:proofErr w:type="gramEnd"/>
      <w:r w:rsidRPr="006D34D4">
        <w:t>g” e desde que comprovado o armazenamento do produto em armazém cadastrado pela Companhia Nacional de Abastecimento (Conab).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1º)</w:t>
      </w:r>
    </w:p>
    <w:p w14:paraId="14D3C8C7" w14:textId="07013893" w:rsidR="00442409" w:rsidRPr="006D34D4" w:rsidRDefault="00442409" w:rsidP="0071269E">
      <w:pPr>
        <w:tabs>
          <w:tab w:val="right" w:pos="9923"/>
        </w:tabs>
        <w:ind w:left="284" w:hanging="284"/>
        <w:jc w:val="both"/>
      </w:pPr>
      <w:r w:rsidRPr="006D34D4">
        <w:t xml:space="preserve">3 - </w:t>
      </w:r>
      <w:r w:rsidR="001C009B" w:rsidRPr="006D34D4">
        <w:t>A conversão do crédito de custeio em crédito de comercialização de que trata o item 2 fica condicionada</w:t>
      </w:r>
      <w:r w:rsidRPr="006D34D4">
        <w:t>: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</w:t>
      </w:r>
      <w:r w:rsidR="001B71CB" w:rsidRPr="006D34D4">
        <w:t xml:space="preserve">; Res CMN 5.021 </w:t>
      </w:r>
      <w:proofErr w:type="spellStart"/>
      <w:r w:rsidR="001B71CB" w:rsidRPr="006D34D4">
        <w:t>art</w:t>
      </w:r>
      <w:proofErr w:type="spellEnd"/>
      <w:r w:rsidR="001B71CB" w:rsidRPr="006D34D4">
        <w:t xml:space="preserve"> 5º</w:t>
      </w:r>
      <w:r w:rsidR="00C35451" w:rsidRPr="006D34D4">
        <w:t>)</w:t>
      </w:r>
      <w:r w:rsidR="001C009B" w:rsidRPr="006D34D4">
        <w:tab/>
        <w:t>(*)</w:t>
      </w:r>
    </w:p>
    <w:p w14:paraId="1BCA2CF2" w14:textId="1DD9FB37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a) à substituição da garantia do crédito de custeio, até a data de seu vencimento, por penhor em sacas de café;</w:t>
      </w:r>
      <w:r w:rsidR="006D34D4" w:rsidRPr="006D34D4">
        <w:t xml:space="preserve"> (Res CMN 4.889 </w:t>
      </w:r>
      <w:proofErr w:type="spellStart"/>
      <w:r w:rsidR="006D34D4" w:rsidRPr="006D34D4">
        <w:t>art</w:t>
      </w:r>
      <w:proofErr w:type="spellEnd"/>
      <w:r w:rsidR="006D34D4" w:rsidRPr="006D34D4">
        <w:t xml:space="preserve"> 1º)</w:t>
      </w:r>
    </w:p>
    <w:p w14:paraId="362B11A9" w14:textId="6ADC6630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b) ao pagamento do valor correspondente aos encargos financeiros pactuados e devidos até a data de formalização da conversão;</w:t>
      </w:r>
      <w:r w:rsidR="001B71CB" w:rsidRPr="006D34D4">
        <w:t xml:space="preserve"> (Res CMN 4.889 </w:t>
      </w:r>
      <w:proofErr w:type="spellStart"/>
      <w:r w:rsidR="001B71CB" w:rsidRPr="006D34D4">
        <w:t>art</w:t>
      </w:r>
      <w:proofErr w:type="spellEnd"/>
      <w:r w:rsidR="001B71CB" w:rsidRPr="006D34D4">
        <w:t xml:space="preserve"> 1º)</w:t>
      </w:r>
    </w:p>
    <w:p w14:paraId="2D5160C1" w14:textId="2843B1F4" w:rsidR="00442409" w:rsidRPr="006D34D4" w:rsidRDefault="00442409" w:rsidP="0071269E">
      <w:pPr>
        <w:tabs>
          <w:tab w:val="right" w:pos="9923"/>
        </w:tabs>
        <w:spacing w:after="120"/>
        <w:ind w:left="568" w:hanging="284"/>
        <w:jc w:val="both"/>
      </w:pPr>
      <w:r w:rsidRPr="006D34D4">
        <w:t>c) à permissão para que a Conab, a qualquer tempo e mediante prévia solicitação do Ministério da Agricultura, Pecuária e Abastecimento (Mapa), realize inspeções do estoque garantidor do crédito.</w:t>
      </w:r>
      <w:r w:rsidR="001B71CB" w:rsidRPr="006D34D4">
        <w:t xml:space="preserve"> (Res CMN 4.889 </w:t>
      </w:r>
      <w:proofErr w:type="spellStart"/>
      <w:r w:rsidR="001B71CB" w:rsidRPr="006D34D4">
        <w:t>art</w:t>
      </w:r>
      <w:proofErr w:type="spellEnd"/>
      <w:r w:rsidR="001B71CB" w:rsidRPr="006D34D4">
        <w:t xml:space="preserve"> 1º)</w:t>
      </w:r>
    </w:p>
    <w:p w14:paraId="25F99638" w14:textId="5A2DBC03" w:rsidR="00442409" w:rsidRPr="006D34D4" w:rsidRDefault="00442409" w:rsidP="0071269E">
      <w:pPr>
        <w:tabs>
          <w:tab w:val="right" w:pos="9923"/>
        </w:tabs>
        <w:ind w:left="284" w:hanging="284"/>
        <w:jc w:val="both"/>
      </w:pPr>
      <w:r w:rsidRPr="006D34D4">
        <w:t xml:space="preserve">4 - </w:t>
      </w:r>
      <w:r w:rsidR="001C5F48" w:rsidRPr="006D34D4">
        <w:t xml:space="preserve">A instituição financeira, a seu critério e nos casos em que ficar comprovada a dificuldade temporária para reembolso do crédito em vista das situações previstas no MCR 2-6-4, pode renegociar as parcelas de operações de crédito de custeio contratadas com recursos repassados pelo </w:t>
      </w:r>
      <w:proofErr w:type="spellStart"/>
      <w:r w:rsidR="001C5F48" w:rsidRPr="006D34D4">
        <w:t>Funcafé</w:t>
      </w:r>
      <w:proofErr w:type="spellEnd"/>
      <w:r w:rsidR="001C5F48" w:rsidRPr="006D34D4">
        <w:t>, com vencimento no ano civil, desde que respeitado o limite de 8% (oito por cento) do valor das parcelas destas operações com vencimento no respectivo ano, em cada instituição financeira, e que a instituição financeira ateste a necessidade de prorrogação e demonstre a capacidade de pagamento do mutuário, observadas as seguintes condições</w:t>
      </w:r>
      <w:r w:rsidRPr="006D34D4">
        <w:t>: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</w:t>
      </w:r>
      <w:r w:rsidR="00F2225B" w:rsidRPr="006D34D4">
        <w:t xml:space="preserve">; Res </w:t>
      </w:r>
      <w:r w:rsidR="00A71DA1" w:rsidRPr="006D34D4">
        <w:t xml:space="preserve">CMN </w:t>
      </w:r>
      <w:r w:rsidR="00F2225B" w:rsidRPr="006D34D4">
        <w:t xml:space="preserve">4.905 </w:t>
      </w:r>
      <w:proofErr w:type="spellStart"/>
      <w:r w:rsidR="00F2225B" w:rsidRPr="006D34D4">
        <w:t>art</w:t>
      </w:r>
      <w:proofErr w:type="spellEnd"/>
      <w:r w:rsidR="00F2225B" w:rsidRPr="006D34D4">
        <w:t xml:space="preserve"> 3º</w:t>
      </w:r>
      <w:r w:rsidR="00C35451" w:rsidRPr="006D34D4">
        <w:t>)</w:t>
      </w:r>
      <w:r w:rsidR="00F2225B" w:rsidRPr="006D34D4">
        <w:tab/>
      </w:r>
    </w:p>
    <w:p w14:paraId="7304AE78" w14:textId="6534924B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a) o limite de 8% (oito por cento) deve ser apurado em 31 de dezembro do ano anterior;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1º)</w:t>
      </w:r>
    </w:p>
    <w:p w14:paraId="15A6206A" w14:textId="2CDD4294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b) a renegociação fica condicionada a que o mutuário: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1º)</w:t>
      </w:r>
    </w:p>
    <w:p w14:paraId="21364EDD" w14:textId="77777777" w:rsidR="00442409" w:rsidRPr="006D34D4" w:rsidRDefault="00442409" w:rsidP="0071269E">
      <w:pPr>
        <w:tabs>
          <w:tab w:val="right" w:pos="9923"/>
        </w:tabs>
        <w:ind w:left="852" w:hanging="284"/>
        <w:jc w:val="both"/>
      </w:pPr>
      <w:r w:rsidRPr="006D34D4">
        <w:t xml:space="preserve">I - </w:t>
      </w:r>
      <w:proofErr w:type="gramStart"/>
      <w:r w:rsidRPr="006D34D4">
        <w:t>solicite</w:t>
      </w:r>
      <w:proofErr w:type="gramEnd"/>
      <w:r w:rsidRPr="006D34D4">
        <w:t xml:space="preserve"> a renegociação do vencimento da prestação até a data prevista para o respectivo pagamento, sob pena de ter o seu risco de crédito agravado em caso de inadimplemento;</w:t>
      </w:r>
    </w:p>
    <w:p w14:paraId="3B7C2B48" w14:textId="77777777" w:rsidR="00442409" w:rsidRPr="006D34D4" w:rsidRDefault="00442409" w:rsidP="0071269E">
      <w:pPr>
        <w:tabs>
          <w:tab w:val="right" w:pos="9923"/>
        </w:tabs>
        <w:ind w:left="852" w:hanging="284"/>
        <w:jc w:val="both"/>
      </w:pPr>
      <w:r w:rsidRPr="006D34D4">
        <w:t xml:space="preserve">II - </w:t>
      </w:r>
      <w:proofErr w:type="gramStart"/>
      <w:r w:rsidRPr="006D34D4">
        <w:t>efetue</w:t>
      </w:r>
      <w:proofErr w:type="gramEnd"/>
      <w:r w:rsidRPr="006D34D4">
        <w:t>, até a data do ajuste, o pagamento de, no mínimo, o valor correspondente aos encargos financeiros devidos no ano.</w:t>
      </w:r>
    </w:p>
    <w:p w14:paraId="25954F6F" w14:textId="3F5000DB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c) até 100% (cem por cento) do valor da(s) parcela(s) do principal com vencimento no ano pode ser renegociado para pagamento em até três parcelas anuais, a partir da data prevista para o vencimento vigente do contrato, mantidas as demais condições pactuadas;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1º)</w:t>
      </w:r>
    </w:p>
    <w:p w14:paraId="6C152CD7" w14:textId="7B3DAA45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d) cada operação de crédito de custeio somente pode ser beneficiada com 1 (uma) renegociação ao amparo deste item;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1º)</w:t>
      </w:r>
    </w:p>
    <w:p w14:paraId="036613F1" w14:textId="07BA1BAC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e) quando da renegociação, as instituições financeiras podem solicitar garantias adicionais, entre as admitidas para o crédito rural;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1º)</w:t>
      </w:r>
    </w:p>
    <w:p w14:paraId="7E17C450" w14:textId="50132E19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 xml:space="preserve">f) </w:t>
      </w:r>
      <w:r w:rsidR="001C5F48" w:rsidRPr="006D34D4">
        <w:t>o pedido de renegociação do mutuário deve vir acompanhado de informações técnicas que permitam à instituição financeira comprovar o fato gerador da dificuldade temporária para reembolso do crédito, sua intensidade e o percentual de redução de renda decorrente</w:t>
      </w:r>
      <w:r w:rsidRPr="006D34D4">
        <w:t>;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>4.</w:t>
      </w:r>
      <w:r w:rsidR="00F2225B" w:rsidRPr="006D34D4">
        <w:t>905</w:t>
      </w:r>
      <w:r w:rsidR="00C35451" w:rsidRPr="006D34D4">
        <w:t xml:space="preserve"> </w:t>
      </w:r>
      <w:proofErr w:type="spellStart"/>
      <w:r w:rsidR="00C35451" w:rsidRPr="006D34D4">
        <w:t>art</w:t>
      </w:r>
      <w:proofErr w:type="spellEnd"/>
      <w:r w:rsidR="00C35451" w:rsidRPr="006D34D4">
        <w:t xml:space="preserve"> </w:t>
      </w:r>
      <w:r w:rsidR="00F2225B" w:rsidRPr="006D34D4">
        <w:t>3</w:t>
      </w:r>
      <w:r w:rsidR="00C35451" w:rsidRPr="006D34D4">
        <w:t>º)</w:t>
      </w:r>
      <w:r w:rsidR="001C5F48" w:rsidRPr="006D34D4">
        <w:tab/>
      </w:r>
    </w:p>
    <w:p w14:paraId="70D32101" w14:textId="47E5716C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g) quando um mesmo fato gerador de dificuldade de pagamento atingir no mínimo 30 (trinta) operações de agricultores familiares de um mesmo município, as informações de que trata a alínea "f" poderão constar em documento único que abranja esse grupo de agricultores;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1º)</w:t>
      </w:r>
    </w:p>
    <w:p w14:paraId="6EA60B96" w14:textId="483D1254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h) a formalização da renegociação deve ser efetuada pela instituição financeira em até 60 (sessenta) dias após o vencimento da respectiva prestação;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1º)</w:t>
      </w:r>
    </w:p>
    <w:p w14:paraId="73176CCE" w14:textId="69F4EF0A" w:rsidR="00442409" w:rsidRPr="006D34D4" w:rsidRDefault="00442409" w:rsidP="0071269E">
      <w:pPr>
        <w:tabs>
          <w:tab w:val="right" w:pos="9923"/>
        </w:tabs>
        <w:ind w:left="568" w:hanging="284"/>
        <w:jc w:val="both"/>
      </w:pPr>
      <w:r w:rsidRPr="006D34D4">
        <w:t>i) a cada ano, os valores reprogramados com base neste item devem ser deduzidos das disponibilidades da linha de crédito de custeio no exercício vigente;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1º)</w:t>
      </w:r>
    </w:p>
    <w:p w14:paraId="2D7794F8" w14:textId="74833A41" w:rsidR="00670148" w:rsidRPr="00442409" w:rsidRDefault="00442409" w:rsidP="0071269E">
      <w:pPr>
        <w:tabs>
          <w:tab w:val="right" w:pos="9923"/>
        </w:tabs>
        <w:ind w:left="568" w:hanging="284"/>
        <w:jc w:val="both"/>
      </w:pPr>
      <w:r w:rsidRPr="006D34D4">
        <w:lastRenderedPageBreak/>
        <w:t>j) as instituições financeiras devem informar ao Departamento do Café da Secretaria de Produção e Agroenergia do Mapa, em formato por ele definido, os dados trimestrais sobre as operações de renegociação com base neste item, até o último dia do mês seguinte ao fim do trimestre.</w:t>
      </w:r>
      <w:r w:rsidR="00C35451" w:rsidRPr="006D34D4">
        <w:t xml:space="preserve"> (Res </w:t>
      </w:r>
      <w:r w:rsidR="00A71DA1" w:rsidRPr="006D34D4">
        <w:t xml:space="preserve">CMN </w:t>
      </w:r>
      <w:r w:rsidR="00C35451" w:rsidRPr="006D34D4">
        <w:t xml:space="preserve">4.889 </w:t>
      </w:r>
      <w:proofErr w:type="spellStart"/>
      <w:r w:rsidR="00C35451" w:rsidRPr="006D34D4">
        <w:t>art</w:t>
      </w:r>
      <w:proofErr w:type="spellEnd"/>
      <w:r w:rsidR="00C35451" w:rsidRPr="006D34D4">
        <w:t xml:space="preserve"> 1º)</w:t>
      </w:r>
    </w:p>
    <w:sectPr w:rsidR="00670148" w:rsidRPr="00442409" w:rsidSect="006C2C6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681D" w14:textId="77777777" w:rsidR="009D6BAD" w:rsidRDefault="009D6BAD">
      <w:r>
        <w:separator/>
      </w:r>
    </w:p>
  </w:endnote>
  <w:endnote w:type="continuationSeparator" w:id="0">
    <w:p w14:paraId="742AE371" w14:textId="77777777" w:rsidR="009D6BAD" w:rsidRDefault="009D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C30D" w14:textId="77777777" w:rsidR="00B57909" w:rsidRDefault="00B57909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72A17986" w14:textId="1A46507B" w:rsidR="00836F80" w:rsidRDefault="004D4B66" w:rsidP="001A6883">
    <w:pPr>
      <w:pStyle w:val="Rodap"/>
    </w:pPr>
    <w:r w:rsidRPr="00C25411">
      <w:t>Atualização MCR nº 708, de 11 de julho de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3C59" w14:textId="77777777" w:rsidR="006C2C6B" w:rsidRDefault="006C2C6B" w:rsidP="006C2C6B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30950B88" w14:textId="2E0AEB27" w:rsidR="006C2C6B" w:rsidRDefault="00C25411" w:rsidP="00DA09CA">
    <w:pPr>
      <w:pStyle w:val="Rodap"/>
    </w:pPr>
    <w:r w:rsidRPr="00C25411">
      <w:t>Atualização MCR nº 708, de 11 de julho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4FCC" w14:textId="77777777" w:rsidR="009D6BAD" w:rsidRDefault="009D6BAD">
      <w:r>
        <w:separator/>
      </w:r>
    </w:p>
  </w:footnote>
  <w:footnote w:type="continuationSeparator" w:id="0">
    <w:p w14:paraId="40C2D00C" w14:textId="77777777" w:rsidR="009D6BAD" w:rsidRDefault="009D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A077" w14:textId="77777777" w:rsidR="00B57909" w:rsidRDefault="00B579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90EC568" w14:textId="77777777" w:rsidR="00B57909" w:rsidRDefault="00B579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101D" w14:textId="77777777" w:rsidR="00B57909" w:rsidRDefault="00B57909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 w:rsidR="009D6BAD">
      <w:fldChar w:fldCharType="begin"/>
    </w:r>
    <w:r w:rsidR="009D6BAD">
      <w:instrText xml:space="preserve"> PAGE  \* MERGEFORMAT </w:instrText>
    </w:r>
    <w:r w:rsidR="009D6BAD">
      <w:fldChar w:fldCharType="separate"/>
    </w:r>
    <w:r w:rsidR="0071613D">
      <w:rPr>
        <w:noProof/>
      </w:rPr>
      <w:t>2</w:t>
    </w:r>
    <w:r w:rsidR="009D6BAD">
      <w:rPr>
        <w:noProof/>
      </w:rPr>
      <w:fldChar w:fldCharType="end"/>
    </w:r>
  </w:p>
  <w:p w14:paraId="6F9EECCB" w14:textId="77777777" w:rsidR="00B57909" w:rsidRDefault="00B57909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>: Fundo de Defesa da Economia Cafeeira (</w:t>
    </w:r>
    <w:proofErr w:type="spellStart"/>
    <w:r>
      <w:t>Funcafé</w:t>
    </w:r>
    <w:proofErr w:type="spellEnd"/>
    <w:r>
      <w:t>) - 9</w:t>
    </w:r>
  </w:p>
  <w:p w14:paraId="3EEF13CB" w14:textId="77777777" w:rsidR="00B57909" w:rsidRDefault="00B57909" w:rsidP="000B12DD">
    <w:pPr>
      <w:pStyle w:val="Cabealho"/>
      <w:tabs>
        <w:tab w:val="clear" w:pos="4419"/>
        <w:tab w:val="clear" w:pos="8838"/>
        <w:tab w:val="left" w:pos="993"/>
        <w:tab w:val="left" w:pos="4002"/>
        <w:tab w:val="right" w:pos="10064"/>
      </w:tabs>
    </w:pPr>
    <w:r>
      <w:t>SEÇÃO</w:t>
    </w:r>
    <w:r>
      <w:tab/>
      <w:t>: Custeio - 2</w:t>
    </w:r>
  </w:p>
  <w:p w14:paraId="74D729E3" w14:textId="77777777" w:rsidR="00B57909" w:rsidRDefault="00B57909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7D6ECCD1" w14:textId="77777777" w:rsidR="00B57909" w:rsidRDefault="00B57909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61297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701"/>
    <w:rsid w:val="000116BF"/>
    <w:rsid w:val="00015DB0"/>
    <w:rsid w:val="0002004C"/>
    <w:rsid w:val="00055FB8"/>
    <w:rsid w:val="000B12DD"/>
    <w:rsid w:val="000B3AAF"/>
    <w:rsid w:val="000B53C8"/>
    <w:rsid w:val="000D4BF8"/>
    <w:rsid w:val="000E3714"/>
    <w:rsid w:val="00110B43"/>
    <w:rsid w:val="00117B22"/>
    <w:rsid w:val="00140291"/>
    <w:rsid w:val="00144829"/>
    <w:rsid w:val="00165B72"/>
    <w:rsid w:val="00167439"/>
    <w:rsid w:val="001731C4"/>
    <w:rsid w:val="00197FB1"/>
    <w:rsid w:val="001A6883"/>
    <w:rsid w:val="001B71CB"/>
    <w:rsid w:val="001C009B"/>
    <w:rsid w:val="001C5F48"/>
    <w:rsid w:val="001D669C"/>
    <w:rsid w:val="001E28F2"/>
    <w:rsid w:val="001E308D"/>
    <w:rsid w:val="00214AD2"/>
    <w:rsid w:val="00215E1F"/>
    <w:rsid w:val="00252371"/>
    <w:rsid w:val="002848E2"/>
    <w:rsid w:val="002B09A4"/>
    <w:rsid w:val="002B1827"/>
    <w:rsid w:val="002B4C0A"/>
    <w:rsid w:val="002C15EB"/>
    <w:rsid w:val="002D4D90"/>
    <w:rsid w:val="002E3208"/>
    <w:rsid w:val="003108CB"/>
    <w:rsid w:val="0031157B"/>
    <w:rsid w:val="003564B7"/>
    <w:rsid w:val="003779C0"/>
    <w:rsid w:val="00383A25"/>
    <w:rsid w:val="003A4700"/>
    <w:rsid w:val="003E2D97"/>
    <w:rsid w:val="003F467C"/>
    <w:rsid w:val="0040537D"/>
    <w:rsid w:val="00410873"/>
    <w:rsid w:val="00415C39"/>
    <w:rsid w:val="00423967"/>
    <w:rsid w:val="00442409"/>
    <w:rsid w:val="00447EB5"/>
    <w:rsid w:val="004D4B66"/>
    <w:rsid w:val="00512836"/>
    <w:rsid w:val="00547EEB"/>
    <w:rsid w:val="005A4E28"/>
    <w:rsid w:val="00633A72"/>
    <w:rsid w:val="00670148"/>
    <w:rsid w:val="0068288D"/>
    <w:rsid w:val="00695B74"/>
    <w:rsid w:val="006C113F"/>
    <w:rsid w:val="006C2C6B"/>
    <w:rsid w:val="006C6A13"/>
    <w:rsid w:val="006D34D4"/>
    <w:rsid w:val="007026C9"/>
    <w:rsid w:val="0071269E"/>
    <w:rsid w:val="0071613D"/>
    <w:rsid w:val="00726E8B"/>
    <w:rsid w:val="00743D1C"/>
    <w:rsid w:val="00780ECC"/>
    <w:rsid w:val="007F4FD7"/>
    <w:rsid w:val="00803D6F"/>
    <w:rsid w:val="00836F80"/>
    <w:rsid w:val="00873232"/>
    <w:rsid w:val="00884ED0"/>
    <w:rsid w:val="00886672"/>
    <w:rsid w:val="008C1605"/>
    <w:rsid w:val="008C6A9F"/>
    <w:rsid w:val="008D1658"/>
    <w:rsid w:val="009007A9"/>
    <w:rsid w:val="00903B86"/>
    <w:rsid w:val="00911012"/>
    <w:rsid w:val="00966DCB"/>
    <w:rsid w:val="009766F4"/>
    <w:rsid w:val="00987E01"/>
    <w:rsid w:val="009C3F00"/>
    <w:rsid w:val="009D6BAD"/>
    <w:rsid w:val="00A007DC"/>
    <w:rsid w:val="00A07650"/>
    <w:rsid w:val="00A20655"/>
    <w:rsid w:val="00A47655"/>
    <w:rsid w:val="00A71DA1"/>
    <w:rsid w:val="00AA3354"/>
    <w:rsid w:val="00AD6FC5"/>
    <w:rsid w:val="00AF1126"/>
    <w:rsid w:val="00B0300C"/>
    <w:rsid w:val="00B158E8"/>
    <w:rsid w:val="00B32C31"/>
    <w:rsid w:val="00B57909"/>
    <w:rsid w:val="00B9644F"/>
    <w:rsid w:val="00BB5A21"/>
    <w:rsid w:val="00BD4CAC"/>
    <w:rsid w:val="00BE4BA2"/>
    <w:rsid w:val="00BE760A"/>
    <w:rsid w:val="00C101CA"/>
    <w:rsid w:val="00C14299"/>
    <w:rsid w:val="00C20701"/>
    <w:rsid w:val="00C25411"/>
    <w:rsid w:val="00C35451"/>
    <w:rsid w:val="00C85663"/>
    <w:rsid w:val="00CA4745"/>
    <w:rsid w:val="00CE38A8"/>
    <w:rsid w:val="00CF04F0"/>
    <w:rsid w:val="00D060FD"/>
    <w:rsid w:val="00D275E5"/>
    <w:rsid w:val="00D634D8"/>
    <w:rsid w:val="00D7163D"/>
    <w:rsid w:val="00D8382E"/>
    <w:rsid w:val="00DA09CA"/>
    <w:rsid w:val="00DB1F53"/>
    <w:rsid w:val="00DD4D01"/>
    <w:rsid w:val="00DE5786"/>
    <w:rsid w:val="00E26D7E"/>
    <w:rsid w:val="00E373DB"/>
    <w:rsid w:val="00E44222"/>
    <w:rsid w:val="00E52629"/>
    <w:rsid w:val="00EC3CB0"/>
    <w:rsid w:val="00EC6DAE"/>
    <w:rsid w:val="00ED2818"/>
    <w:rsid w:val="00ED2C66"/>
    <w:rsid w:val="00EE3BF4"/>
    <w:rsid w:val="00EF33DF"/>
    <w:rsid w:val="00F2225B"/>
    <w:rsid w:val="00F26516"/>
    <w:rsid w:val="00F32C9D"/>
    <w:rsid w:val="00F467F7"/>
    <w:rsid w:val="00FC7FA3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5B85944"/>
  <w15:docId w15:val="{BFD800BD-55DF-4327-9FA2-80667DDC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link w:val="TextodecomentrioChar"/>
    <w:semiHidden/>
  </w:style>
  <w:style w:type="paragraph" w:styleId="TextosemFormatao">
    <w:name w:val="Plain Text"/>
    <w:basedOn w:val="Normal"/>
    <w:link w:val="TextosemFormataoChar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Ementa">
    <w:name w:val="Ementa"/>
    <w:basedOn w:val="Normal"/>
    <w:next w:val="Normal"/>
    <w:pPr>
      <w:spacing w:after="360"/>
      <w:ind w:left="5103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70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0701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link w:val="TextosemFormatao"/>
    <w:semiHidden/>
    <w:rsid w:val="00670148"/>
    <w:rPr>
      <w:rFonts w:ascii="Courier New" w:hAnsi="Courier New"/>
    </w:rPr>
  </w:style>
  <w:style w:type="character" w:customStyle="1" w:styleId="RodapChar">
    <w:name w:val="Rodapé Char"/>
    <w:basedOn w:val="Fontepargpadro"/>
    <w:link w:val="Rodap"/>
    <w:semiHidden/>
    <w:rsid w:val="001E28F2"/>
  </w:style>
  <w:style w:type="character" w:styleId="Refdecomentrio">
    <w:name w:val="annotation reference"/>
    <w:basedOn w:val="Fontepargpadro"/>
    <w:uiPriority w:val="99"/>
    <w:semiHidden/>
    <w:unhideWhenUsed/>
    <w:rsid w:val="00B158E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58E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158E8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58E8"/>
    <w:rPr>
      <w:b/>
      <w:bCs/>
    </w:rPr>
  </w:style>
  <w:style w:type="paragraph" w:customStyle="1" w:styleId="ttulo">
    <w:name w:val="título"/>
    <w:next w:val="Ementa"/>
    <w:autoRedefine/>
    <w:rsid w:val="00442409"/>
    <w:pPr>
      <w:spacing w:after="480"/>
      <w:jc w:val="center"/>
    </w:pPr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7F13-895A-4CCE-9AF5-DEF5775D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81</TotalTime>
  <Pages>2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Pedro Jordao Salino</cp:lastModifiedBy>
  <cp:revision>65</cp:revision>
  <cp:lastPrinted>2010-08-11T12:15:00Z</cp:lastPrinted>
  <dcterms:created xsi:type="dcterms:W3CDTF">2014-07-23T14:29:00Z</dcterms:created>
  <dcterms:modified xsi:type="dcterms:W3CDTF">2022-07-08T19:00:00Z</dcterms:modified>
</cp:coreProperties>
</file>