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44769" w14:textId="77777777" w:rsidR="00EB1B3A" w:rsidRPr="006B13B3" w:rsidRDefault="00EB1B3A" w:rsidP="00EB1B3A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6B13B3">
        <w:t>TÍTULO</w:t>
      </w:r>
      <w:r w:rsidRPr="006B13B3">
        <w:tab/>
        <w:t>: CRÉDITO RURAL</w:t>
      </w:r>
      <w:r w:rsidRPr="006B13B3">
        <w:tab/>
      </w:r>
      <w:r w:rsidRPr="006B13B3">
        <w:fldChar w:fldCharType="begin"/>
      </w:r>
      <w:r w:rsidRPr="006B13B3">
        <w:instrText xml:space="preserve"> PAGE  \* MERGEFORMAT </w:instrText>
      </w:r>
      <w:r w:rsidRPr="006B13B3">
        <w:fldChar w:fldCharType="separate"/>
      </w:r>
      <w:r w:rsidR="00D86D05" w:rsidRPr="006B13B3">
        <w:rPr>
          <w:noProof/>
        </w:rPr>
        <w:t>1</w:t>
      </w:r>
      <w:r w:rsidRPr="006B13B3">
        <w:rPr>
          <w:noProof/>
        </w:rPr>
        <w:fldChar w:fldCharType="end"/>
      </w:r>
    </w:p>
    <w:p w14:paraId="777444BC" w14:textId="77777777" w:rsidR="00EB1B3A" w:rsidRPr="006B13B3" w:rsidRDefault="00EB1B3A" w:rsidP="00EB1B3A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6B13B3">
        <w:t>CAPÍTULO</w:t>
      </w:r>
      <w:r w:rsidRPr="006B13B3">
        <w:tab/>
        <w:t>: Recursos - 6</w:t>
      </w:r>
    </w:p>
    <w:p w14:paraId="427DC5FA" w14:textId="1FF75F3F" w:rsidR="00EB1B3A" w:rsidRPr="006B13B3" w:rsidRDefault="00EB1B3A" w:rsidP="00EB1B3A">
      <w:pPr>
        <w:pStyle w:val="Cabealho"/>
        <w:tabs>
          <w:tab w:val="clear" w:pos="4419"/>
          <w:tab w:val="clear" w:pos="8838"/>
          <w:tab w:val="left" w:pos="993"/>
          <w:tab w:val="right" w:pos="9639"/>
          <w:tab w:val="right" w:pos="9923"/>
        </w:tabs>
      </w:pPr>
      <w:r w:rsidRPr="006B13B3">
        <w:t>SEÇÃO</w:t>
      </w:r>
      <w:r w:rsidRPr="006B13B3">
        <w:tab/>
        <w:t xml:space="preserve">: Disposições Gerais </w:t>
      </w:r>
      <w:r w:rsidR="00C27F60">
        <w:t>-</w:t>
      </w:r>
      <w:r w:rsidRPr="006B13B3">
        <w:t xml:space="preserve"> 1</w:t>
      </w:r>
      <w:r w:rsidR="005A240C">
        <w:tab/>
        <w:t>(*)</w:t>
      </w:r>
    </w:p>
    <w:p w14:paraId="6E20CE07" w14:textId="77777777" w:rsidR="00EB1B3A" w:rsidRPr="006B13B3" w:rsidRDefault="00EB1B3A" w:rsidP="00EB1B3A">
      <w:pPr>
        <w:pStyle w:val="Cabealho"/>
        <w:tabs>
          <w:tab w:val="clear" w:pos="4419"/>
          <w:tab w:val="clear" w:pos="8838"/>
          <w:tab w:val="left" w:pos="1134"/>
          <w:tab w:val="right" w:pos="9639"/>
        </w:tabs>
      </w:pPr>
      <w:r w:rsidRPr="006B13B3">
        <w:t>_____________________________________________________________________________________________</w:t>
      </w:r>
    </w:p>
    <w:p w14:paraId="7B8CC3F2" w14:textId="77777777" w:rsidR="00EB1B3A" w:rsidRPr="005A240C" w:rsidRDefault="00EB1B3A" w:rsidP="005A240C">
      <w:pPr>
        <w:pStyle w:val="Cabealho"/>
        <w:tabs>
          <w:tab w:val="clear" w:pos="4419"/>
          <w:tab w:val="clear" w:pos="8838"/>
          <w:tab w:val="left" w:pos="1134"/>
        </w:tabs>
        <w:rPr>
          <w:bCs/>
        </w:rPr>
      </w:pPr>
    </w:p>
    <w:p w14:paraId="318BF81A" w14:textId="77777777" w:rsidR="00FE3B1B" w:rsidRPr="00FE3B1B" w:rsidRDefault="00B66A58" w:rsidP="00FE3B1B">
      <w:pPr>
        <w:tabs>
          <w:tab w:val="right" w:pos="9923"/>
        </w:tabs>
        <w:spacing w:after="120"/>
        <w:ind w:left="284" w:hanging="284"/>
        <w:jc w:val="both"/>
        <w:rPr>
          <w:bCs/>
        </w:rPr>
      </w:pPr>
      <w:r w:rsidRPr="00FE3B1B">
        <w:rPr>
          <w:bCs/>
        </w:rPr>
        <w:t xml:space="preserve">1 - </w:t>
      </w:r>
      <w:r w:rsidR="00FE3B1B" w:rsidRPr="00FE3B1B">
        <w:rPr>
          <w:bCs/>
        </w:rPr>
        <w:t>O crédito rural pode ser concedido com recursos controlados e não controlados, segundo classificação estabelecida nesta Seção.</w:t>
      </w:r>
    </w:p>
    <w:p w14:paraId="61B9DE40" w14:textId="77777777" w:rsidR="00FE3B1B" w:rsidRPr="00FE3B1B" w:rsidRDefault="00FE3B1B" w:rsidP="00FE3B1B">
      <w:pPr>
        <w:tabs>
          <w:tab w:val="right" w:pos="9923"/>
        </w:tabs>
        <w:ind w:left="284" w:hanging="284"/>
        <w:jc w:val="both"/>
        <w:rPr>
          <w:bCs/>
        </w:rPr>
      </w:pPr>
      <w:r w:rsidRPr="00FE3B1B">
        <w:rPr>
          <w:bCs/>
        </w:rPr>
        <w:t>2 - São considerados recursos controlados:</w:t>
      </w:r>
    </w:p>
    <w:p w14:paraId="3290312A" w14:textId="77777777" w:rsidR="00FE3B1B" w:rsidRPr="00FE3B1B" w:rsidRDefault="00FE3B1B" w:rsidP="00FE3B1B">
      <w:pPr>
        <w:tabs>
          <w:tab w:val="right" w:pos="9923"/>
        </w:tabs>
        <w:ind w:left="568" w:hanging="284"/>
        <w:jc w:val="both"/>
        <w:rPr>
          <w:bCs/>
        </w:rPr>
      </w:pPr>
      <w:r w:rsidRPr="00FE3B1B">
        <w:rPr>
          <w:bCs/>
        </w:rPr>
        <w:t>a) os obrigatórios;</w:t>
      </w:r>
    </w:p>
    <w:p w14:paraId="60BAF205" w14:textId="77777777" w:rsidR="00FE3B1B" w:rsidRPr="00FE3B1B" w:rsidRDefault="00FE3B1B" w:rsidP="00FE3B1B">
      <w:pPr>
        <w:tabs>
          <w:tab w:val="right" w:pos="9923"/>
        </w:tabs>
        <w:ind w:left="568" w:hanging="284"/>
        <w:jc w:val="both"/>
        <w:rPr>
          <w:bCs/>
        </w:rPr>
      </w:pPr>
      <w:r w:rsidRPr="00FE3B1B">
        <w:rPr>
          <w:bCs/>
        </w:rPr>
        <w:t>b) os das Operações Oficiais de Crédito;</w:t>
      </w:r>
    </w:p>
    <w:p w14:paraId="7EE39AE1" w14:textId="77777777" w:rsidR="00FE3B1B" w:rsidRPr="00FE3B1B" w:rsidRDefault="00FE3B1B" w:rsidP="00FE3B1B">
      <w:pPr>
        <w:tabs>
          <w:tab w:val="right" w:pos="9923"/>
        </w:tabs>
        <w:ind w:left="568" w:hanging="284"/>
        <w:jc w:val="both"/>
        <w:rPr>
          <w:bCs/>
        </w:rPr>
      </w:pPr>
      <w:r w:rsidRPr="00FE3B1B">
        <w:rPr>
          <w:bCs/>
        </w:rPr>
        <w:t>c) os de qualquer fonte destinados ao crédito rural na forma da regulação aplicável, quando sujeitos à subvenção da União, sob a forma de equalização de encargos financeiros, inclusive os recursos administrados pelo Banco Nacional de Desenvolvimento Econômico e Social (BNDES);</w:t>
      </w:r>
    </w:p>
    <w:p w14:paraId="7CB9AD9C" w14:textId="77777777" w:rsidR="00FE3B1B" w:rsidRPr="00FE3B1B" w:rsidRDefault="00FE3B1B" w:rsidP="00FE3B1B">
      <w:pPr>
        <w:tabs>
          <w:tab w:val="right" w:pos="9923"/>
        </w:tabs>
        <w:ind w:left="568" w:hanging="284"/>
        <w:jc w:val="both"/>
        <w:rPr>
          <w:bCs/>
        </w:rPr>
      </w:pPr>
      <w:r w:rsidRPr="00FE3B1B">
        <w:rPr>
          <w:bCs/>
        </w:rPr>
        <w:t>d) os da poupança rural, quando aplicados segundo as condições definidas para os recursos obrigatórios;</w:t>
      </w:r>
    </w:p>
    <w:p w14:paraId="7A462DE2" w14:textId="77777777" w:rsidR="00FE3B1B" w:rsidRPr="00FE3B1B" w:rsidRDefault="00FE3B1B" w:rsidP="00FE3B1B">
      <w:pPr>
        <w:tabs>
          <w:tab w:val="right" w:pos="9923"/>
        </w:tabs>
        <w:ind w:left="568" w:hanging="284"/>
        <w:jc w:val="both"/>
        <w:rPr>
          <w:bCs/>
        </w:rPr>
      </w:pPr>
      <w:r w:rsidRPr="00FE3B1B">
        <w:rPr>
          <w:bCs/>
        </w:rPr>
        <w:t>e) os dos fundos constitucionais de financiamento regional;</w:t>
      </w:r>
    </w:p>
    <w:p w14:paraId="715B2CD0" w14:textId="77777777" w:rsidR="00FE3B1B" w:rsidRPr="00FE3B1B" w:rsidRDefault="00FE3B1B" w:rsidP="00FE3B1B">
      <w:pPr>
        <w:tabs>
          <w:tab w:val="right" w:pos="9923"/>
        </w:tabs>
        <w:spacing w:after="120"/>
        <w:ind w:left="568" w:hanging="284"/>
        <w:jc w:val="both"/>
        <w:rPr>
          <w:bCs/>
        </w:rPr>
      </w:pPr>
      <w:r w:rsidRPr="00FE3B1B">
        <w:rPr>
          <w:bCs/>
        </w:rPr>
        <w:t>f) os do Fundo de Defesa da Economia Cafeeira (Funcafé).</w:t>
      </w:r>
    </w:p>
    <w:p w14:paraId="51D30F30" w14:textId="77777777" w:rsidR="00FE3B1B" w:rsidRPr="00FE3B1B" w:rsidRDefault="00FE3B1B" w:rsidP="00FE3B1B">
      <w:pPr>
        <w:tabs>
          <w:tab w:val="right" w:pos="9923"/>
        </w:tabs>
        <w:spacing w:after="120"/>
        <w:ind w:left="284" w:hanging="284"/>
        <w:jc w:val="both"/>
        <w:rPr>
          <w:bCs/>
        </w:rPr>
      </w:pPr>
      <w:r w:rsidRPr="00FE3B1B">
        <w:rPr>
          <w:bCs/>
        </w:rPr>
        <w:t>3 - São considerados recursos não controlados aqueles não enquadrados no item 2.</w:t>
      </w:r>
    </w:p>
    <w:p w14:paraId="28FA865F" w14:textId="77777777" w:rsidR="00FE3B1B" w:rsidRPr="00FE3B1B" w:rsidRDefault="00FE3B1B" w:rsidP="00FE3B1B">
      <w:pPr>
        <w:tabs>
          <w:tab w:val="right" w:pos="9923"/>
        </w:tabs>
        <w:spacing w:after="120"/>
        <w:ind w:left="284" w:hanging="284"/>
        <w:jc w:val="both"/>
        <w:rPr>
          <w:bCs/>
        </w:rPr>
      </w:pPr>
      <w:r w:rsidRPr="00FE3B1B">
        <w:rPr>
          <w:bCs/>
        </w:rPr>
        <w:t>4 - Os créditos formalizados ao amparo de recursos obrigatórios não estão sujeitos à subvenção de encargos financeiros.</w:t>
      </w:r>
    </w:p>
    <w:p w14:paraId="2E01AD80" w14:textId="77777777" w:rsidR="00FE3B1B" w:rsidRPr="00FE3B1B" w:rsidRDefault="00FE3B1B" w:rsidP="00FE3B1B">
      <w:pPr>
        <w:tabs>
          <w:tab w:val="right" w:pos="9923"/>
        </w:tabs>
        <w:ind w:left="284" w:hanging="284"/>
        <w:jc w:val="both"/>
        <w:rPr>
          <w:bCs/>
        </w:rPr>
      </w:pPr>
      <w:r w:rsidRPr="00FE3B1B">
        <w:rPr>
          <w:bCs/>
        </w:rPr>
        <w:t>5 - Quanto à identificação dos recursos, a instituição financeira deve:</w:t>
      </w:r>
    </w:p>
    <w:p w14:paraId="1169C9D1" w14:textId="77777777" w:rsidR="00FE3B1B" w:rsidRPr="00FE3B1B" w:rsidRDefault="00FE3B1B" w:rsidP="00FE3B1B">
      <w:pPr>
        <w:tabs>
          <w:tab w:val="right" w:pos="9923"/>
        </w:tabs>
        <w:ind w:left="568" w:hanging="284"/>
        <w:jc w:val="both"/>
        <w:rPr>
          <w:bCs/>
        </w:rPr>
      </w:pPr>
      <w:r w:rsidRPr="00FE3B1B">
        <w:rPr>
          <w:bCs/>
        </w:rPr>
        <w:t>a) consignar no instrumento de crédito a fonte dos recursos utilizados no financiamento conforme a classificação dos itens 2 e 3 (recursos controlados ou não controlados), registrando, se for o caso, a denominação do fundo, programa ou linha específica;</w:t>
      </w:r>
    </w:p>
    <w:p w14:paraId="227000E3" w14:textId="77777777" w:rsidR="00FE3B1B" w:rsidRPr="00FE3B1B" w:rsidRDefault="00FE3B1B" w:rsidP="00FE3B1B">
      <w:pPr>
        <w:tabs>
          <w:tab w:val="right" w:pos="9923"/>
        </w:tabs>
        <w:ind w:left="568" w:hanging="284"/>
        <w:jc w:val="both"/>
        <w:rPr>
          <w:bCs/>
        </w:rPr>
      </w:pPr>
      <w:r w:rsidRPr="00FE3B1B">
        <w:rPr>
          <w:bCs/>
        </w:rPr>
        <w:t>b) no que diz respeito à indicação da fonte de recursos, observar as determinações deste manual relativas:</w:t>
      </w:r>
    </w:p>
    <w:p w14:paraId="3DDED384" w14:textId="77777777" w:rsidR="00FE3B1B" w:rsidRPr="00FE3B1B" w:rsidRDefault="00FE3B1B" w:rsidP="00FE3B1B">
      <w:pPr>
        <w:ind w:left="851" w:hanging="284"/>
        <w:jc w:val="both"/>
        <w:rPr>
          <w:rFonts w:eastAsia="PMingLiU"/>
        </w:rPr>
      </w:pPr>
      <w:r w:rsidRPr="00FE3B1B">
        <w:rPr>
          <w:rFonts w:eastAsia="PMingLiU"/>
          <w:bCs/>
        </w:rPr>
        <w:t xml:space="preserve">I - à contabilização e ao controle das </w:t>
      </w:r>
      <w:r w:rsidRPr="00FE3B1B">
        <w:t>operações</w:t>
      </w:r>
      <w:r w:rsidRPr="00FE3B1B">
        <w:rPr>
          <w:rFonts w:eastAsia="PMingLiU"/>
          <w:bCs/>
        </w:rPr>
        <w:t xml:space="preserve"> de crédito rural;</w:t>
      </w:r>
    </w:p>
    <w:p w14:paraId="28653AA2" w14:textId="77777777" w:rsidR="00FE3B1B" w:rsidRPr="00FE3B1B" w:rsidRDefault="00FE3B1B" w:rsidP="00FE3B1B">
      <w:pPr>
        <w:ind w:left="851" w:hanging="284"/>
        <w:jc w:val="both"/>
        <w:rPr>
          <w:rFonts w:eastAsia="PMingLiU"/>
        </w:rPr>
      </w:pPr>
      <w:r w:rsidRPr="00FE3B1B">
        <w:rPr>
          <w:rFonts w:eastAsia="PMingLiU"/>
          <w:bCs/>
        </w:rPr>
        <w:t xml:space="preserve">II - ao registro das operações no </w:t>
      </w:r>
      <w:r w:rsidRPr="00FE3B1B">
        <w:t>Sistema</w:t>
      </w:r>
      <w:r w:rsidRPr="00FE3B1B">
        <w:rPr>
          <w:rFonts w:eastAsia="PMingLiU"/>
          <w:bCs/>
        </w:rPr>
        <w:t xml:space="preserve"> de Operações do Crédito Rural e do Proagro (Sicor);</w:t>
      </w:r>
    </w:p>
    <w:p w14:paraId="5152D08F" w14:textId="6B8E84C1" w:rsidR="00B758F6" w:rsidRDefault="00FE3B1B" w:rsidP="00B758F6">
      <w:pPr>
        <w:ind w:left="851" w:hanging="284"/>
        <w:jc w:val="both"/>
        <w:rPr>
          <w:rFonts w:eastAsia="PMingLiU"/>
          <w:bCs/>
        </w:rPr>
      </w:pPr>
      <w:r w:rsidRPr="00FE3B1B">
        <w:rPr>
          <w:rFonts w:eastAsia="PMingLiU"/>
          <w:bCs/>
        </w:rPr>
        <w:t xml:space="preserve">III - ao controle dos saldos das </w:t>
      </w:r>
      <w:r w:rsidRPr="00FE3B1B">
        <w:t>aplicações</w:t>
      </w:r>
      <w:r w:rsidRPr="00FE3B1B">
        <w:rPr>
          <w:rFonts w:eastAsia="PMingLiU"/>
          <w:bCs/>
        </w:rPr>
        <w:t xml:space="preserve"> em crédito rural no Sistema de Exigibilidades do Crédito Rural (Sisex).</w:t>
      </w:r>
    </w:p>
    <w:p w14:paraId="42A6DE9B" w14:textId="77777777" w:rsidR="00B758F6" w:rsidRPr="00970048" w:rsidRDefault="00B758F6" w:rsidP="00FE3B1B">
      <w:pPr>
        <w:tabs>
          <w:tab w:val="right" w:pos="9923"/>
        </w:tabs>
        <w:ind w:left="284" w:hanging="284"/>
        <w:jc w:val="both"/>
        <w:rPr>
          <w:bCs/>
          <w:sz w:val="8"/>
          <w:szCs w:val="8"/>
        </w:rPr>
      </w:pPr>
    </w:p>
    <w:p w14:paraId="309165ED" w14:textId="0371DFE4" w:rsidR="00FE3B1B" w:rsidRPr="00FE3B1B" w:rsidRDefault="00FE3B1B" w:rsidP="00FE3B1B">
      <w:pPr>
        <w:tabs>
          <w:tab w:val="right" w:pos="9923"/>
        </w:tabs>
        <w:ind w:left="284" w:hanging="284"/>
        <w:jc w:val="both"/>
        <w:rPr>
          <w:bCs/>
        </w:rPr>
      </w:pPr>
      <w:r w:rsidRPr="00FE3B1B">
        <w:rPr>
          <w:bCs/>
        </w:rPr>
        <w:t>6 - É vedada a transferência de dívida amparada por recursos controlados, salvo quando:</w:t>
      </w:r>
    </w:p>
    <w:p w14:paraId="5500093E" w14:textId="77777777" w:rsidR="00FE3B1B" w:rsidRPr="00FE3B1B" w:rsidRDefault="00FE3B1B" w:rsidP="00FE3B1B">
      <w:pPr>
        <w:tabs>
          <w:tab w:val="right" w:pos="9923"/>
        </w:tabs>
        <w:ind w:left="568" w:hanging="284"/>
        <w:jc w:val="both"/>
        <w:rPr>
          <w:bCs/>
        </w:rPr>
      </w:pPr>
      <w:r w:rsidRPr="00FE3B1B">
        <w:rPr>
          <w:bCs/>
        </w:rPr>
        <w:t>a) imprescindível à recuperação do crédito ou à preservação do empreendimento assistido;</w:t>
      </w:r>
    </w:p>
    <w:p w14:paraId="7D6F68AF" w14:textId="77777777" w:rsidR="00FE3B1B" w:rsidRPr="00FE3B1B" w:rsidRDefault="00FE3B1B" w:rsidP="00FE3B1B">
      <w:pPr>
        <w:tabs>
          <w:tab w:val="right" w:pos="9923"/>
        </w:tabs>
        <w:ind w:left="568" w:hanging="284"/>
        <w:jc w:val="both"/>
        <w:rPr>
          <w:bCs/>
        </w:rPr>
      </w:pPr>
      <w:r w:rsidRPr="00FE3B1B">
        <w:rPr>
          <w:bCs/>
        </w:rPr>
        <w:t>b) decorrente de divisão de imóvel rural, doação, inventário, separação judicial de cônjuges ou divórcio;</w:t>
      </w:r>
    </w:p>
    <w:p w14:paraId="3610079F" w14:textId="77777777" w:rsidR="00FE3B1B" w:rsidRPr="00FE3B1B" w:rsidRDefault="00FE3B1B" w:rsidP="00FE3B1B">
      <w:pPr>
        <w:tabs>
          <w:tab w:val="right" w:pos="9923"/>
        </w:tabs>
        <w:spacing w:after="120"/>
        <w:ind w:left="568" w:hanging="284"/>
        <w:jc w:val="both"/>
        <w:rPr>
          <w:bCs/>
        </w:rPr>
      </w:pPr>
      <w:r w:rsidRPr="00FE3B1B">
        <w:rPr>
          <w:bCs/>
        </w:rPr>
        <w:t>c) o assuntor for empresa da qual participe majoritariamente o devedor primitivo.</w:t>
      </w:r>
    </w:p>
    <w:p w14:paraId="200136F4" w14:textId="77777777" w:rsidR="00FE3B1B" w:rsidRPr="00FE3B1B" w:rsidRDefault="00FE3B1B" w:rsidP="00FE3B1B">
      <w:pPr>
        <w:tabs>
          <w:tab w:val="right" w:pos="9923"/>
        </w:tabs>
        <w:ind w:left="284" w:hanging="284"/>
        <w:jc w:val="both"/>
        <w:rPr>
          <w:bCs/>
        </w:rPr>
      </w:pPr>
      <w:r w:rsidRPr="00FE3B1B">
        <w:rPr>
          <w:bCs/>
        </w:rPr>
        <w:t>7 - Quando tiver como fundamentação apenas o propósito de recuperar o crédito ou preservar o empreendimento assistido, a transferência de dívida prevista no item anterior fica sujeita a que:</w:t>
      </w:r>
    </w:p>
    <w:p w14:paraId="69A60076" w14:textId="77777777" w:rsidR="00FE3B1B" w:rsidRPr="00FE3B1B" w:rsidRDefault="00FE3B1B" w:rsidP="00FE3B1B">
      <w:pPr>
        <w:tabs>
          <w:tab w:val="right" w:pos="9923"/>
        </w:tabs>
        <w:ind w:left="568" w:hanging="284"/>
        <w:jc w:val="both"/>
        <w:rPr>
          <w:bCs/>
        </w:rPr>
      </w:pPr>
      <w:r w:rsidRPr="00FE3B1B">
        <w:rPr>
          <w:bCs/>
        </w:rPr>
        <w:t>a) o assuntor seja beneficiário do crédito rural, na forma admitida neste manual;</w:t>
      </w:r>
    </w:p>
    <w:p w14:paraId="206C9632" w14:textId="77777777" w:rsidR="00FE3B1B" w:rsidRPr="00FE3B1B" w:rsidRDefault="00FE3B1B" w:rsidP="00FE3B1B">
      <w:pPr>
        <w:tabs>
          <w:tab w:val="right" w:pos="9923"/>
        </w:tabs>
        <w:spacing w:after="120"/>
        <w:ind w:left="568" w:hanging="284"/>
        <w:jc w:val="both"/>
        <w:rPr>
          <w:bCs/>
        </w:rPr>
      </w:pPr>
      <w:r w:rsidRPr="00FE3B1B">
        <w:rPr>
          <w:bCs/>
        </w:rPr>
        <w:t>b) os juros sejam ajustados aos níveis vigentes para operações de igual natureza e finalidade na data de sua efetivação.</w:t>
      </w:r>
    </w:p>
    <w:p w14:paraId="00CAC227" w14:textId="77777777" w:rsidR="00FE3B1B" w:rsidRPr="00FE3B1B" w:rsidRDefault="00FE3B1B" w:rsidP="00FE3B1B">
      <w:pPr>
        <w:tabs>
          <w:tab w:val="right" w:pos="9923"/>
        </w:tabs>
        <w:spacing w:after="120"/>
        <w:ind w:left="284" w:hanging="284"/>
        <w:jc w:val="both"/>
        <w:rPr>
          <w:bCs/>
        </w:rPr>
      </w:pPr>
      <w:r w:rsidRPr="00FE3B1B">
        <w:rPr>
          <w:bCs/>
        </w:rPr>
        <w:t>8 - Cabe à instituição financeira, em qualquer hipótese e sob fundamentação específica, decidir sobre o pedido de transferência de dívida.</w:t>
      </w:r>
    </w:p>
    <w:p w14:paraId="7D86F84E" w14:textId="77777777" w:rsidR="00FE3B1B" w:rsidRPr="00FE3B1B" w:rsidRDefault="00FE3B1B" w:rsidP="00FE3B1B">
      <w:pPr>
        <w:tabs>
          <w:tab w:val="right" w:pos="9923"/>
        </w:tabs>
        <w:spacing w:after="120"/>
        <w:ind w:left="284" w:hanging="284"/>
        <w:jc w:val="both"/>
        <w:rPr>
          <w:bCs/>
        </w:rPr>
      </w:pPr>
      <w:r w:rsidRPr="00FE3B1B">
        <w:rPr>
          <w:bCs/>
        </w:rPr>
        <w:t>9 - A definição de normas, procedimentos e condições operacionais para aplicação de recursos dos fundos constitucionais de financiamento regional está sujeita à legislação específica aplicável.</w:t>
      </w:r>
    </w:p>
    <w:p w14:paraId="3DF0B3A3" w14:textId="77777777" w:rsidR="00FE3B1B" w:rsidRPr="00FE3B1B" w:rsidRDefault="00FE3B1B" w:rsidP="00FE3B1B">
      <w:pPr>
        <w:tabs>
          <w:tab w:val="right" w:pos="9923"/>
        </w:tabs>
        <w:spacing w:after="120"/>
        <w:ind w:left="284" w:hanging="284"/>
        <w:jc w:val="both"/>
        <w:rPr>
          <w:bCs/>
        </w:rPr>
      </w:pPr>
      <w:r w:rsidRPr="00FE3B1B">
        <w:rPr>
          <w:bCs/>
        </w:rPr>
        <w:t>10 - Seja qual for a origem dos recursos, sua aplicação só é considerada crédito rural quando observadas a legislação aplicável ao crédito rural e as normas estabelecidas neste manual.</w:t>
      </w:r>
    </w:p>
    <w:p w14:paraId="5628376D" w14:textId="77777777" w:rsidR="00FE3B1B" w:rsidRPr="00FE3B1B" w:rsidRDefault="00FE3B1B" w:rsidP="00026159">
      <w:pPr>
        <w:tabs>
          <w:tab w:val="right" w:pos="9923"/>
        </w:tabs>
        <w:ind w:left="284" w:hanging="284"/>
        <w:jc w:val="both"/>
        <w:rPr>
          <w:bCs/>
        </w:rPr>
      </w:pPr>
      <w:r w:rsidRPr="00FE3B1B">
        <w:rPr>
          <w:bCs/>
        </w:rPr>
        <w:t>11 - O Banco Central do Brasil pode adotar as medidas julgadas necessárias à execução do disposto neste Capítulo, bem como elaborar e divulgar sistemática de:</w:t>
      </w:r>
    </w:p>
    <w:p w14:paraId="5FE327D0" w14:textId="77777777" w:rsidR="00FE3B1B" w:rsidRPr="00FE3B1B" w:rsidRDefault="00FE3B1B" w:rsidP="00FE3B1B">
      <w:pPr>
        <w:tabs>
          <w:tab w:val="right" w:pos="9923"/>
        </w:tabs>
        <w:ind w:left="568" w:hanging="284"/>
        <w:jc w:val="both"/>
        <w:rPr>
          <w:bCs/>
        </w:rPr>
      </w:pPr>
      <w:r w:rsidRPr="00FE3B1B">
        <w:rPr>
          <w:bCs/>
        </w:rPr>
        <w:t>a) controle e acompanhamento das aplicações ao amparo de Recursos Obrigatórios, de Poupança Rural e de Letras de Crédito do Agronegócio (LCA), bem como dos saldos das aplicações em crédito rural;</w:t>
      </w:r>
    </w:p>
    <w:p w14:paraId="287B40E3" w14:textId="77777777" w:rsidR="00FE3B1B" w:rsidRPr="00FE3B1B" w:rsidRDefault="00FE3B1B" w:rsidP="00FE3B1B">
      <w:pPr>
        <w:tabs>
          <w:tab w:val="right" w:pos="9923"/>
        </w:tabs>
        <w:spacing w:after="120"/>
        <w:ind w:left="568" w:hanging="284"/>
        <w:jc w:val="both"/>
        <w:rPr>
          <w:bCs/>
        </w:rPr>
      </w:pPr>
      <w:r w:rsidRPr="00FE3B1B">
        <w:rPr>
          <w:bCs/>
        </w:rPr>
        <w:t>b) verificação das respectivas exigibilidades.</w:t>
      </w:r>
    </w:p>
    <w:p w14:paraId="1B7514A4" w14:textId="77777777" w:rsidR="00FE3B1B" w:rsidRPr="00FE3B1B" w:rsidRDefault="00FE3B1B" w:rsidP="00FE3B1B">
      <w:pPr>
        <w:ind w:left="284" w:hanging="284"/>
        <w:jc w:val="both"/>
        <w:rPr>
          <w:bCs/>
        </w:rPr>
      </w:pPr>
      <w:r w:rsidRPr="00FE3B1B">
        <w:rPr>
          <w:bCs/>
        </w:rPr>
        <w:t>12 - A alteração da fonte de recursos de operação de crédito rural:</w:t>
      </w:r>
    </w:p>
    <w:p w14:paraId="75A598B0" w14:textId="77777777" w:rsidR="00FE3B1B" w:rsidRPr="00FE3B1B" w:rsidRDefault="00FE3B1B" w:rsidP="00FE3B1B">
      <w:pPr>
        <w:tabs>
          <w:tab w:val="right" w:pos="9923"/>
        </w:tabs>
        <w:ind w:left="568" w:hanging="284"/>
        <w:jc w:val="both"/>
        <w:rPr>
          <w:bCs/>
        </w:rPr>
      </w:pPr>
      <w:r w:rsidRPr="00FE3B1B">
        <w:rPr>
          <w:bCs/>
        </w:rPr>
        <w:t>a) é permitida, salvo quando exista vedação expressa neste manual;</w:t>
      </w:r>
    </w:p>
    <w:p w14:paraId="6CDF9238" w14:textId="77777777" w:rsidR="00FE3B1B" w:rsidRPr="00FE3B1B" w:rsidRDefault="00FE3B1B" w:rsidP="00FE3B1B">
      <w:pPr>
        <w:tabs>
          <w:tab w:val="right" w:pos="9923"/>
        </w:tabs>
        <w:ind w:left="568" w:hanging="284"/>
        <w:jc w:val="both"/>
        <w:rPr>
          <w:bCs/>
        </w:rPr>
      </w:pPr>
      <w:r w:rsidRPr="00FE3B1B">
        <w:rPr>
          <w:bCs/>
        </w:rPr>
        <w:t>b) deve ser informada imediatamente, no Sicor, para ter efeitos a partir da data da alteração;</w:t>
      </w:r>
    </w:p>
    <w:p w14:paraId="57F958F7" w14:textId="77777777" w:rsidR="00FE3B1B" w:rsidRPr="00FE3B1B" w:rsidRDefault="00FE3B1B" w:rsidP="00FE3B1B">
      <w:pPr>
        <w:tabs>
          <w:tab w:val="right" w:pos="9923"/>
        </w:tabs>
        <w:ind w:left="568" w:hanging="284"/>
        <w:jc w:val="both"/>
        <w:rPr>
          <w:bCs/>
        </w:rPr>
      </w:pPr>
      <w:r w:rsidRPr="00FE3B1B">
        <w:rPr>
          <w:bCs/>
        </w:rPr>
        <w:t>c) quando relacionada às fontes de recursos de que tratam as seções de Recursos Obrigatórios, de Poupança Rural e de LCA, sujeitas a cumprimento de direcionamento, pode ser realizada apenas uma vez até a liquidação da operação;</w:t>
      </w:r>
    </w:p>
    <w:p w14:paraId="13D6E7DB" w14:textId="77777777" w:rsidR="00FE3B1B" w:rsidRPr="00FE3B1B" w:rsidRDefault="00FE3B1B" w:rsidP="00FE3B1B">
      <w:pPr>
        <w:tabs>
          <w:tab w:val="right" w:pos="9923"/>
        </w:tabs>
        <w:spacing w:after="120"/>
        <w:ind w:left="568" w:hanging="284"/>
        <w:jc w:val="both"/>
        <w:rPr>
          <w:bCs/>
        </w:rPr>
      </w:pPr>
      <w:r w:rsidRPr="00FE3B1B">
        <w:rPr>
          <w:bCs/>
        </w:rPr>
        <w:t>d) deve ser efetuada mediante aditivo contratual, nos casos de reajuste dos encargos financeiros ou de alteração nas condições da operação.</w:t>
      </w:r>
    </w:p>
    <w:p w14:paraId="36897428" w14:textId="77777777" w:rsidR="00FE3B1B" w:rsidRPr="00FE3B1B" w:rsidRDefault="00FE3B1B" w:rsidP="00FE3B1B">
      <w:pPr>
        <w:tabs>
          <w:tab w:val="right" w:pos="9923"/>
        </w:tabs>
        <w:spacing w:after="120"/>
        <w:ind w:left="284" w:hanging="284"/>
        <w:jc w:val="both"/>
        <w:rPr>
          <w:bCs/>
        </w:rPr>
      </w:pPr>
      <w:r w:rsidRPr="00FE3B1B">
        <w:rPr>
          <w:bCs/>
        </w:rPr>
        <w:t>13 - É vedada a utilização de repasse interfinanceiro para cumprimento das exigibilidades de crédito rural, ressalvado o disposto no item 14.</w:t>
      </w:r>
    </w:p>
    <w:p w14:paraId="5239F3D4" w14:textId="77777777" w:rsidR="00FE3B1B" w:rsidRPr="00FE3B1B" w:rsidRDefault="00FE3B1B" w:rsidP="00FE3B1B">
      <w:pPr>
        <w:tabs>
          <w:tab w:val="right" w:pos="9923"/>
        </w:tabs>
        <w:ind w:left="284" w:hanging="284"/>
        <w:jc w:val="both"/>
        <w:rPr>
          <w:bCs/>
        </w:rPr>
      </w:pPr>
      <w:r w:rsidRPr="00FE3B1B">
        <w:rPr>
          <w:bCs/>
        </w:rPr>
        <w:lastRenderedPageBreak/>
        <w:t>14 - Os bancos cooperativos, as confederações de centrais de cooperativas de crédito e as cooperativas centrais de crédito podem utilizar repasses interfinanceiros vinculados a operações de crédito rural realizadas por cooperativas de crédito do respectivo sistema, para fins de cumprimento das exigibilidades e subexigibilidades, inclusive seus ponderadores, observadas as seguintes condições:</w:t>
      </w:r>
    </w:p>
    <w:p w14:paraId="144BE8EE" w14:textId="77777777" w:rsidR="00FE3B1B" w:rsidRPr="00FE3B1B" w:rsidRDefault="00FE3B1B" w:rsidP="00FE3B1B">
      <w:pPr>
        <w:tabs>
          <w:tab w:val="right" w:pos="9923"/>
        </w:tabs>
        <w:ind w:left="568" w:hanging="284"/>
        <w:jc w:val="both"/>
        <w:rPr>
          <w:bCs/>
        </w:rPr>
      </w:pPr>
      <w:r w:rsidRPr="00FE3B1B">
        <w:rPr>
          <w:bCs/>
        </w:rPr>
        <w:t>a) a totalidade dos recursos de cada repasse interfinanceiro deve se destinar a apenas uma operação de crédito rural;</w:t>
      </w:r>
    </w:p>
    <w:p w14:paraId="3F33AEEE" w14:textId="77777777" w:rsidR="00FE3B1B" w:rsidRPr="00FE3B1B" w:rsidRDefault="00FE3B1B" w:rsidP="00FE3B1B">
      <w:pPr>
        <w:tabs>
          <w:tab w:val="right" w:pos="9923"/>
        </w:tabs>
        <w:ind w:left="568" w:hanging="284"/>
        <w:jc w:val="both"/>
        <w:rPr>
          <w:bCs/>
        </w:rPr>
      </w:pPr>
      <w:r w:rsidRPr="00FE3B1B">
        <w:rPr>
          <w:bCs/>
        </w:rPr>
        <w:t>b) o instrumento relativo ao repasse interfinanceiro e o instrumento relativo à operação de crédito rural a ele vinculada devem observar idênticas datas de vencimento e indicar sua mútua vinculação;</w:t>
      </w:r>
    </w:p>
    <w:p w14:paraId="3CCAAA57" w14:textId="77777777" w:rsidR="00FE3B1B" w:rsidRPr="00FE3B1B" w:rsidRDefault="00FE3B1B" w:rsidP="00FE3B1B">
      <w:pPr>
        <w:tabs>
          <w:tab w:val="right" w:pos="9923"/>
        </w:tabs>
        <w:ind w:left="568" w:hanging="284"/>
        <w:jc w:val="both"/>
        <w:rPr>
          <w:bCs/>
        </w:rPr>
      </w:pPr>
      <w:r w:rsidRPr="00FE3B1B">
        <w:rPr>
          <w:bCs/>
        </w:rPr>
        <w:t>c) a cooperativa de crédito deve efetuar a operação de crédito rural no prazo máximo de 1 (um) dia útil após o recebimento dos recursos oriundos do repasse interfinanceiro; e</w:t>
      </w:r>
    </w:p>
    <w:p w14:paraId="45F5A931" w14:textId="77777777" w:rsidR="00FE3B1B" w:rsidRPr="00FE3B1B" w:rsidRDefault="00FE3B1B" w:rsidP="00FE3B1B">
      <w:pPr>
        <w:tabs>
          <w:tab w:val="right" w:pos="9923"/>
        </w:tabs>
        <w:spacing w:after="120"/>
        <w:ind w:left="568" w:hanging="284"/>
        <w:jc w:val="both"/>
        <w:rPr>
          <w:bCs/>
        </w:rPr>
      </w:pPr>
      <w:r w:rsidRPr="00FE3B1B">
        <w:rPr>
          <w:bCs/>
        </w:rPr>
        <w:t>d) a cooperativa de crédito deve fornecer todas as informações sobre a operação de crédito rural efetuada ao banco cooperativo, à confederação de centrais de cooperativas de crédito ou à cooperativa central de crédito que tiver realizado o repasse interfinanceiro.</w:t>
      </w:r>
    </w:p>
    <w:p w14:paraId="7C68919E" w14:textId="77777777" w:rsidR="00FE3B1B" w:rsidRPr="00FE3B1B" w:rsidRDefault="00FE3B1B" w:rsidP="00FE3B1B">
      <w:pPr>
        <w:tabs>
          <w:tab w:val="right" w:pos="9923"/>
        </w:tabs>
        <w:ind w:left="284" w:hanging="284"/>
        <w:jc w:val="both"/>
        <w:rPr>
          <w:bCs/>
        </w:rPr>
      </w:pPr>
      <w:r w:rsidRPr="00FE3B1B">
        <w:rPr>
          <w:bCs/>
        </w:rPr>
        <w:t>15 - É vedado o cômputo para cumprimento das exigibilidades de crédito rural dos saldos das operações ou das parcelas de crédito:</w:t>
      </w:r>
    </w:p>
    <w:p w14:paraId="52A74BEA" w14:textId="77777777" w:rsidR="00FE3B1B" w:rsidRPr="00FE3B1B" w:rsidRDefault="00FE3B1B" w:rsidP="00FE3B1B">
      <w:pPr>
        <w:tabs>
          <w:tab w:val="right" w:pos="9923"/>
        </w:tabs>
        <w:ind w:left="568" w:hanging="284"/>
        <w:jc w:val="both"/>
        <w:rPr>
          <w:bCs/>
        </w:rPr>
      </w:pPr>
      <w:r w:rsidRPr="00FE3B1B">
        <w:rPr>
          <w:bCs/>
        </w:rPr>
        <w:t>a) baixadas como prejuízo na forma da regulamentação aplicável; e</w:t>
      </w:r>
    </w:p>
    <w:p w14:paraId="77183109" w14:textId="77777777" w:rsidR="00FE3B1B" w:rsidRPr="00FE3B1B" w:rsidRDefault="00FE3B1B" w:rsidP="00FE3B1B">
      <w:pPr>
        <w:tabs>
          <w:tab w:val="right" w:pos="9923"/>
        </w:tabs>
        <w:spacing w:after="120"/>
        <w:ind w:left="568" w:hanging="284"/>
        <w:jc w:val="both"/>
        <w:rPr>
          <w:bCs/>
        </w:rPr>
      </w:pPr>
      <w:r w:rsidRPr="00FE3B1B">
        <w:rPr>
          <w:bCs/>
        </w:rPr>
        <w:t>b) extintas devido à renegociação total ou novação da operação ou parcela originais.</w:t>
      </w:r>
    </w:p>
    <w:p w14:paraId="761E2F16" w14:textId="77777777" w:rsidR="00FE3B1B" w:rsidRPr="00FE3B1B" w:rsidRDefault="00FE3B1B" w:rsidP="00FE3B1B">
      <w:pPr>
        <w:tabs>
          <w:tab w:val="right" w:pos="9923"/>
        </w:tabs>
        <w:ind w:left="284" w:hanging="284"/>
        <w:jc w:val="both"/>
        <w:rPr>
          <w:bCs/>
        </w:rPr>
      </w:pPr>
      <w:r w:rsidRPr="00FE3B1B">
        <w:rPr>
          <w:bCs/>
        </w:rPr>
        <w:t>16 - Os ponderadores estabelecidos para operações amparadas com Recursos Obrigatórios ou da Poupança Rural, aplicados às operações segundo a data de sua contratação, produzem efeito sobre os saldos das respectivas operações até sua liquidação, ressalvadas disposições expressas em contrário.</w:t>
      </w:r>
    </w:p>
    <w:p w14:paraId="7C36AAB8" w14:textId="7F0152E7" w:rsidR="00B16AE8" w:rsidRPr="00FE3B1B" w:rsidRDefault="005A240C" w:rsidP="00FE3B1B">
      <w:pPr>
        <w:tabs>
          <w:tab w:val="right" w:pos="9923"/>
        </w:tabs>
        <w:ind w:left="284" w:hanging="284"/>
        <w:jc w:val="both"/>
        <w:rPr>
          <w:bCs/>
        </w:rPr>
      </w:pPr>
      <w:r w:rsidRPr="00FE3B1B">
        <w:rPr>
          <w:bCs/>
        </w:rPr>
        <w:t>.</w:t>
      </w:r>
    </w:p>
    <w:sectPr w:rsidR="00B16AE8" w:rsidRPr="00FE3B1B" w:rsidSect="00EB1B3A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531" w:right="851" w:bottom="992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4E300" w14:textId="77777777" w:rsidR="00482954" w:rsidRDefault="00482954">
      <w:r>
        <w:separator/>
      </w:r>
    </w:p>
  </w:endnote>
  <w:endnote w:type="continuationSeparator" w:id="0">
    <w:p w14:paraId="2262DFEB" w14:textId="77777777" w:rsidR="00482954" w:rsidRDefault="0048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2D2FB" w14:textId="77777777" w:rsidR="00740347" w:rsidRPr="002C1D7F" w:rsidRDefault="00740347">
    <w:pPr>
      <w:pStyle w:val="TextosemFormatao"/>
      <w:rPr>
        <w:rFonts w:ascii="Times New Roman" w:hAnsi="Times New Roman"/>
      </w:rPr>
    </w:pPr>
    <w:r w:rsidRPr="002C1D7F">
      <w:rPr>
        <w:rFonts w:ascii="Times New Roman" w:hAnsi="Times New Roman"/>
      </w:rPr>
      <w:t>_____________________________________________________________________________________________</w:t>
    </w:r>
  </w:p>
  <w:p w14:paraId="72B4CD02" w14:textId="22159ABA" w:rsidR="00285972" w:rsidRDefault="005A240C" w:rsidP="00EB2203">
    <w:pPr>
      <w:pStyle w:val="Rodap"/>
    </w:pPr>
    <w:r w:rsidRPr="005A240C">
      <w:t>Resolução CMN nº 4.901, de 25 de março de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DB73D" w14:textId="77777777" w:rsidR="00EB1B3A" w:rsidRPr="002C1D7F" w:rsidRDefault="00EB1B3A" w:rsidP="00EB1B3A">
    <w:pPr>
      <w:pStyle w:val="TextosemFormatao"/>
      <w:rPr>
        <w:rFonts w:ascii="Times New Roman" w:hAnsi="Times New Roman"/>
      </w:rPr>
    </w:pPr>
    <w:r w:rsidRPr="002C1D7F">
      <w:rPr>
        <w:rFonts w:ascii="Times New Roman" w:hAnsi="Times New Roman"/>
      </w:rPr>
      <w:t>_____________________________________________________________________________________________</w:t>
    </w:r>
  </w:p>
  <w:p w14:paraId="3A2B90E7" w14:textId="32238146" w:rsidR="00EB1B3A" w:rsidRDefault="005A240C" w:rsidP="006611EF">
    <w:pPr>
      <w:pStyle w:val="Rodap"/>
    </w:pPr>
    <w:r w:rsidRPr="005A240C">
      <w:t>Resolução CMN nº 4.901, de 25 de março de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0599E" w14:textId="77777777" w:rsidR="00482954" w:rsidRDefault="00482954">
      <w:r>
        <w:separator/>
      </w:r>
    </w:p>
  </w:footnote>
  <w:footnote w:type="continuationSeparator" w:id="0">
    <w:p w14:paraId="15DC6AA1" w14:textId="77777777" w:rsidR="00482954" w:rsidRDefault="00482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78C87" w14:textId="77777777" w:rsidR="00740347" w:rsidRDefault="0074034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33704BD" w14:textId="77777777" w:rsidR="00740347" w:rsidRDefault="0074034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02558" w14:textId="77777777" w:rsidR="00740347" w:rsidRDefault="00740347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TÍTULO</w:t>
    </w:r>
    <w:r>
      <w:tab/>
      <w:t>: CRÉDITO RURAL</w:t>
    </w:r>
    <w:r>
      <w:tab/>
    </w:r>
    <w:r w:rsidR="00482954">
      <w:fldChar w:fldCharType="begin"/>
    </w:r>
    <w:r w:rsidR="00482954">
      <w:instrText xml:space="preserve"> PAGE  \* MERGEFORMAT </w:instrText>
    </w:r>
    <w:r w:rsidR="00482954">
      <w:fldChar w:fldCharType="separate"/>
    </w:r>
    <w:r w:rsidR="004158F3">
      <w:rPr>
        <w:noProof/>
      </w:rPr>
      <w:t>2</w:t>
    </w:r>
    <w:r w:rsidR="00482954">
      <w:rPr>
        <w:noProof/>
      </w:rPr>
      <w:fldChar w:fldCharType="end"/>
    </w:r>
  </w:p>
  <w:p w14:paraId="7EB585BE" w14:textId="77777777" w:rsidR="00740347" w:rsidRDefault="00740347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CAPÍTULO</w:t>
    </w:r>
    <w:r>
      <w:tab/>
      <w:t xml:space="preserve">: </w:t>
    </w:r>
    <w:r w:rsidR="00B66A58" w:rsidRPr="00B66A58">
      <w:t>Recursos - 6</w:t>
    </w:r>
  </w:p>
  <w:p w14:paraId="14D8D5FE" w14:textId="77777777" w:rsidR="00740347" w:rsidRDefault="00740347" w:rsidP="00913B58">
    <w:pPr>
      <w:pStyle w:val="Cabealho"/>
      <w:tabs>
        <w:tab w:val="clear" w:pos="4419"/>
        <w:tab w:val="clear" w:pos="8838"/>
        <w:tab w:val="left" w:pos="993"/>
        <w:tab w:val="right" w:pos="9639"/>
        <w:tab w:val="right" w:pos="9923"/>
      </w:tabs>
    </w:pPr>
    <w:r>
      <w:t>SEÇÃO</w:t>
    </w:r>
    <w:r>
      <w:tab/>
      <w:t xml:space="preserve">: </w:t>
    </w:r>
    <w:r w:rsidR="00B66A58" w:rsidRPr="00B66A58">
      <w:t>Disposições Gerais - 1</w:t>
    </w:r>
  </w:p>
  <w:p w14:paraId="5D963070" w14:textId="77777777" w:rsidR="00740347" w:rsidRDefault="00740347">
    <w:pPr>
      <w:pStyle w:val="Cabealho"/>
      <w:tabs>
        <w:tab w:val="clear" w:pos="4419"/>
        <w:tab w:val="clear" w:pos="8838"/>
        <w:tab w:val="left" w:pos="1134"/>
        <w:tab w:val="right" w:pos="9639"/>
      </w:tabs>
    </w:pPr>
    <w:r>
      <w:t>_____________________________________________________________________________________________</w:t>
    </w:r>
  </w:p>
  <w:p w14:paraId="65CD173F" w14:textId="77777777" w:rsidR="00740347" w:rsidRDefault="00740347">
    <w:pPr>
      <w:pStyle w:val="Cabealho"/>
      <w:tabs>
        <w:tab w:val="clear" w:pos="4419"/>
        <w:tab w:val="clear" w:pos="8838"/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70EBC"/>
    <w:multiLevelType w:val="singleLevel"/>
    <w:tmpl w:val="1006378A"/>
    <w:lvl w:ilvl="0">
      <w:start w:val="1"/>
      <w:numFmt w:val="none"/>
      <w:pStyle w:val="Epgrafe"/>
      <w:lvlText w:val="RESOLUÇÃO 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9371378"/>
    <w:multiLevelType w:val="multilevel"/>
    <w:tmpl w:val="5CE07D6C"/>
    <w:lvl w:ilvl="0">
      <w:start w:val="1"/>
      <w:numFmt w:val="decimal"/>
      <w:pStyle w:val="Artigo"/>
      <w:suff w:val="nothing"/>
      <w:lvlText w:val="Art. %1"/>
      <w:lvlJc w:val="left"/>
      <w:pPr>
        <w:ind w:left="0" w:firstLine="1701"/>
      </w:pPr>
      <w:rPr>
        <w:rFonts w:ascii="Times New Roman" w:hAnsi="Times New Roman" w:hint="default"/>
        <w:sz w:val="24"/>
      </w:rPr>
    </w:lvl>
    <w:lvl w:ilvl="1">
      <w:start w:val="1"/>
      <w:numFmt w:val="upperRoman"/>
      <w:suff w:val="nothing"/>
      <w:lvlText w:val="%2 - "/>
      <w:lvlJc w:val="left"/>
      <w:pPr>
        <w:ind w:left="0" w:firstLine="1701"/>
      </w:pPr>
      <w:rPr>
        <w:rFonts w:ascii="Times New Roman" w:hAnsi="Times New Roman" w:hint="default"/>
        <w:sz w:val="24"/>
      </w:rPr>
    </w:lvl>
    <w:lvl w:ilvl="2">
      <w:start w:val="1"/>
      <w:numFmt w:val="lowerLetter"/>
      <w:suff w:val="nothing"/>
      <w:lvlText w:val="%3)"/>
      <w:lvlJc w:val="left"/>
      <w:pPr>
        <w:ind w:left="0" w:firstLine="1701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nothing"/>
      <w:lvlText w:val="%4."/>
      <w:lvlJc w:val="left"/>
      <w:pPr>
        <w:ind w:left="0" w:firstLine="1701"/>
      </w:pPr>
      <w:rPr>
        <w:rFonts w:ascii="Times New Roman" w:hAnsi="Times New Roman" w:hint="default"/>
        <w:sz w:val="24"/>
      </w:rPr>
    </w:lvl>
    <w:lvl w:ilvl="4">
      <w:start w:val="1"/>
      <w:numFmt w:val="none"/>
      <w:suff w:val="nothing"/>
      <w:lvlText w:val="- "/>
      <w:lvlJc w:val="left"/>
      <w:pPr>
        <w:ind w:left="0" w:firstLine="1701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BE25783"/>
    <w:multiLevelType w:val="hybridMultilevel"/>
    <w:tmpl w:val="9DBE2C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8414B"/>
    <w:multiLevelType w:val="hybridMultilevel"/>
    <w:tmpl w:val="AE52F2F2"/>
    <w:lvl w:ilvl="0" w:tplc="F58218C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847A5A"/>
    <w:multiLevelType w:val="singleLevel"/>
    <w:tmpl w:val="6450E26C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7DCF3203"/>
    <w:multiLevelType w:val="hybridMultilevel"/>
    <w:tmpl w:val="1E7A8644"/>
    <w:lvl w:ilvl="0" w:tplc="E86C30F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D1477"/>
    <w:multiLevelType w:val="hybridMultilevel"/>
    <w:tmpl w:val="AD2AB488"/>
    <w:lvl w:ilvl="0" w:tplc="2C3AFB0A">
      <w:start w:val="2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1" w:tplc="8C1C9294">
      <w:start w:val="1"/>
      <w:numFmt w:val="upperRoman"/>
      <w:pStyle w:val="Seo"/>
      <w:lvlText w:val="%2 -"/>
      <w:lvlJc w:val="left"/>
      <w:pPr>
        <w:tabs>
          <w:tab w:val="num" w:pos="570"/>
        </w:tabs>
        <w:ind w:left="1418" w:hanging="338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mirrorMargins/>
  <w:attachedTemplate r:id="rId1"/>
  <w:defaultTabStop w:val="720"/>
  <w:consecutiveHyphenLimit w:val="9"/>
  <w:hyphenationZone w:val="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F3D"/>
    <w:rsid w:val="00000735"/>
    <w:rsid w:val="00003273"/>
    <w:rsid w:val="00004F05"/>
    <w:rsid w:val="000107CF"/>
    <w:rsid w:val="00012EC8"/>
    <w:rsid w:val="0002067F"/>
    <w:rsid w:val="00026159"/>
    <w:rsid w:val="00037F6C"/>
    <w:rsid w:val="00046349"/>
    <w:rsid w:val="00052579"/>
    <w:rsid w:val="00052FB9"/>
    <w:rsid w:val="00062852"/>
    <w:rsid w:val="00075CBB"/>
    <w:rsid w:val="00076F3D"/>
    <w:rsid w:val="00080E69"/>
    <w:rsid w:val="000836AA"/>
    <w:rsid w:val="000841ED"/>
    <w:rsid w:val="00086865"/>
    <w:rsid w:val="000922F3"/>
    <w:rsid w:val="00096B19"/>
    <w:rsid w:val="000A170D"/>
    <w:rsid w:val="000A59F1"/>
    <w:rsid w:val="000C51D5"/>
    <w:rsid w:val="000C5E04"/>
    <w:rsid w:val="000C7E6A"/>
    <w:rsid w:val="000D39E0"/>
    <w:rsid w:val="000D60F5"/>
    <w:rsid w:val="000E2B8F"/>
    <w:rsid w:val="000E338A"/>
    <w:rsid w:val="000E341C"/>
    <w:rsid w:val="000E403F"/>
    <w:rsid w:val="000E4E18"/>
    <w:rsid w:val="000E5528"/>
    <w:rsid w:val="000E5EF6"/>
    <w:rsid w:val="000F0CAA"/>
    <w:rsid w:val="000F1073"/>
    <w:rsid w:val="000F14B9"/>
    <w:rsid w:val="000F63AD"/>
    <w:rsid w:val="001034CB"/>
    <w:rsid w:val="00112EF9"/>
    <w:rsid w:val="00113748"/>
    <w:rsid w:val="001175F8"/>
    <w:rsid w:val="001230E2"/>
    <w:rsid w:val="001274DD"/>
    <w:rsid w:val="00135CC0"/>
    <w:rsid w:val="0014200F"/>
    <w:rsid w:val="001433E0"/>
    <w:rsid w:val="001512D5"/>
    <w:rsid w:val="00151E5D"/>
    <w:rsid w:val="00154EC7"/>
    <w:rsid w:val="001643AE"/>
    <w:rsid w:val="00175D57"/>
    <w:rsid w:val="00186262"/>
    <w:rsid w:val="0019186E"/>
    <w:rsid w:val="00194B9C"/>
    <w:rsid w:val="00197CF2"/>
    <w:rsid w:val="001C745C"/>
    <w:rsid w:val="001D5AFF"/>
    <w:rsid w:val="001E4DF8"/>
    <w:rsid w:val="001F72C1"/>
    <w:rsid w:val="00201983"/>
    <w:rsid w:val="00207853"/>
    <w:rsid w:val="002117CC"/>
    <w:rsid w:val="002224DA"/>
    <w:rsid w:val="002236D2"/>
    <w:rsid w:val="00225917"/>
    <w:rsid w:val="00225FA6"/>
    <w:rsid w:val="0023302A"/>
    <w:rsid w:val="00242767"/>
    <w:rsid w:val="0024736C"/>
    <w:rsid w:val="00247DBC"/>
    <w:rsid w:val="0026636D"/>
    <w:rsid w:val="00285972"/>
    <w:rsid w:val="00293910"/>
    <w:rsid w:val="00296714"/>
    <w:rsid w:val="002977BA"/>
    <w:rsid w:val="002A374C"/>
    <w:rsid w:val="002B040C"/>
    <w:rsid w:val="002B5B1D"/>
    <w:rsid w:val="002C1D7F"/>
    <w:rsid w:val="002C2EDF"/>
    <w:rsid w:val="002E65B8"/>
    <w:rsid w:val="003148F0"/>
    <w:rsid w:val="003149DF"/>
    <w:rsid w:val="00320723"/>
    <w:rsid w:val="003220B7"/>
    <w:rsid w:val="00330DE6"/>
    <w:rsid w:val="003360AF"/>
    <w:rsid w:val="00340F56"/>
    <w:rsid w:val="00341AEE"/>
    <w:rsid w:val="00350426"/>
    <w:rsid w:val="00350C5E"/>
    <w:rsid w:val="00371CAC"/>
    <w:rsid w:val="00374A67"/>
    <w:rsid w:val="00375223"/>
    <w:rsid w:val="00384C7D"/>
    <w:rsid w:val="00392663"/>
    <w:rsid w:val="00393DBF"/>
    <w:rsid w:val="003A6441"/>
    <w:rsid w:val="003B37B4"/>
    <w:rsid w:val="003B37C7"/>
    <w:rsid w:val="003B39FC"/>
    <w:rsid w:val="003B3B9B"/>
    <w:rsid w:val="003C3BD7"/>
    <w:rsid w:val="003C4DBC"/>
    <w:rsid w:val="003C6220"/>
    <w:rsid w:val="003D51DC"/>
    <w:rsid w:val="003E0881"/>
    <w:rsid w:val="003E548D"/>
    <w:rsid w:val="003E5620"/>
    <w:rsid w:val="003E6717"/>
    <w:rsid w:val="003F1072"/>
    <w:rsid w:val="00401975"/>
    <w:rsid w:val="004139F3"/>
    <w:rsid w:val="004158F3"/>
    <w:rsid w:val="004165DE"/>
    <w:rsid w:val="0042234D"/>
    <w:rsid w:val="00427FD3"/>
    <w:rsid w:val="00443D0D"/>
    <w:rsid w:val="00445424"/>
    <w:rsid w:val="00466975"/>
    <w:rsid w:val="00470DCC"/>
    <w:rsid w:val="0047622C"/>
    <w:rsid w:val="00477EE4"/>
    <w:rsid w:val="00481517"/>
    <w:rsid w:val="00482954"/>
    <w:rsid w:val="00484E98"/>
    <w:rsid w:val="00486468"/>
    <w:rsid w:val="004918E7"/>
    <w:rsid w:val="00491BB1"/>
    <w:rsid w:val="004B0545"/>
    <w:rsid w:val="004B0BFB"/>
    <w:rsid w:val="004C03E3"/>
    <w:rsid w:val="004C5233"/>
    <w:rsid w:val="004C6DFB"/>
    <w:rsid w:val="004D69E4"/>
    <w:rsid w:val="004E000F"/>
    <w:rsid w:val="004E1D09"/>
    <w:rsid w:val="004E3711"/>
    <w:rsid w:val="004E663C"/>
    <w:rsid w:val="004F2582"/>
    <w:rsid w:val="004F370E"/>
    <w:rsid w:val="0050005B"/>
    <w:rsid w:val="00501647"/>
    <w:rsid w:val="00514D9B"/>
    <w:rsid w:val="0052341E"/>
    <w:rsid w:val="00524163"/>
    <w:rsid w:val="0052766C"/>
    <w:rsid w:val="00531E6B"/>
    <w:rsid w:val="005324E6"/>
    <w:rsid w:val="005415B8"/>
    <w:rsid w:val="00541AFE"/>
    <w:rsid w:val="00562EBF"/>
    <w:rsid w:val="00571065"/>
    <w:rsid w:val="0057387D"/>
    <w:rsid w:val="00580173"/>
    <w:rsid w:val="0058477B"/>
    <w:rsid w:val="00586F82"/>
    <w:rsid w:val="00587589"/>
    <w:rsid w:val="00590562"/>
    <w:rsid w:val="0059326F"/>
    <w:rsid w:val="0059582C"/>
    <w:rsid w:val="00595DAB"/>
    <w:rsid w:val="005A240C"/>
    <w:rsid w:val="005B2CE5"/>
    <w:rsid w:val="005C48BF"/>
    <w:rsid w:val="005C5664"/>
    <w:rsid w:val="005C5AD7"/>
    <w:rsid w:val="005C6276"/>
    <w:rsid w:val="005D73D1"/>
    <w:rsid w:val="005F0554"/>
    <w:rsid w:val="006071B6"/>
    <w:rsid w:val="00617C3D"/>
    <w:rsid w:val="00624EC8"/>
    <w:rsid w:val="00644E5D"/>
    <w:rsid w:val="00646DF7"/>
    <w:rsid w:val="006551CF"/>
    <w:rsid w:val="0065729D"/>
    <w:rsid w:val="0066108F"/>
    <w:rsid w:val="006611EF"/>
    <w:rsid w:val="00680615"/>
    <w:rsid w:val="006975F8"/>
    <w:rsid w:val="006A2D04"/>
    <w:rsid w:val="006A5749"/>
    <w:rsid w:val="006A782B"/>
    <w:rsid w:val="006B13B3"/>
    <w:rsid w:val="006B2FEA"/>
    <w:rsid w:val="006D4DF9"/>
    <w:rsid w:val="006E2048"/>
    <w:rsid w:val="006E4E77"/>
    <w:rsid w:val="006F72D6"/>
    <w:rsid w:val="007150E2"/>
    <w:rsid w:val="0072686C"/>
    <w:rsid w:val="00726C94"/>
    <w:rsid w:val="00740347"/>
    <w:rsid w:val="00741148"/>
    <w:rsid w:val="00744C4A"/>
    <w:rsid w:val="007464B4"/>
    <w:rsid w:val="00752072"/>
    <w:rsid w:val="0075482D"/>
    <w:rsid w:val="00760B1B"/>
    <w:rsid w:val="00760DAE"/>
    <w:rsid w:val="00764D1B"/>
    <w:rsid w:val="00774E06"/>
    <w:rsid w:val="00777302"/>
    <w:rsid w:val="00784587"/>
    <w:rsid w:val="00785FF1"/>
    <w:rsid w:val="007864A0"/>
    <w:rsid w:val="00791241"/>
    <w:rsid w:val="00795BAA"/>
    <w:rsid w:val="007A1E18"/>
    <w:rsid w:val="007A31BD"/>
    <w:rsid w:val="007A3C42"/>
    <w:rsid w:val="007B0337"/>
    <w:rsid w:val="007B7385"/>
    <w:rsid w:val="007E2722"/>
    <w:rsid w:val="007E5DC4"/>
    <w:rsid w:val="007F4E95"/>
    <w:rsid w:val="007F69EC"/>
    <w:rsid w:val="00803591"/>
    <w:rsid w:val="00810142"/>
    <w:rsid w:val="008156BE"/>
    <w:rsid w:val="00817C66"/>
    <w:rsid w:val="00820FB1"/>
    <w:rsid w:val="008213DD"/>
    <w:rsid w:val="008241E2"/>
    <w:rsid w:val="008249D5"/>
    <w:rsid w:val="0082543D"/>
    <w:rsid w:val="00830417"/>
    <w:rsid w:val="00846107"/>
    <w:rsid w:val="00853E36"/>
    <w:rsid w:val="008579A6"/>
    <w:rsid w:val="0086652B"/>
    <w:rsid w:val="008668FD"/>
    <w:rsid w:val="00874904"/>
    <w:rsid w:val="00876BB0"/>
    <w:rsid w:val="00882329"/>
    <w:rsid w:val="008828C6"/>
    <w:rsid w:val="00886A1C"/>
    <w:rsid w:val="00887805"/>
    <w:rsid w:val="0089720B"/>
    <w:rsid w:val="008B09F8"/>
    <w:rsid w:val="008B7B8D"/>
    <w:rsid w:val="008C0D51"/>
    <w:rsid w:val="008C541F"/>
    <w:rsid w:val="008D1F3B"/>
    <w:rsid w:val="008D3B38"/>
    <w:rsid w:val="008D6ABF"/>
    <w:rsid w:val="008E43C0"/>
    <w:rsid w:val="009053A3"/>
    <w:rsid w:val="00910B5F"/>
    <w:rsid w:val="00912988"/>
    <w:rsid w:val="00913B58"/>
    <w:rsid w:val="009229D2"/>
    <w:rsid w:val="009237C4"/>
    <w:rsid w:val="00930A8F"/>
    <w:rsid w:val="009379EC"/>
    <w:rsid w:val="00941CF0"/>
    <w:rsid w:val="00942343"/>
    <w:rsid w:val="009534CE"/>
    <w:rsid w:val="00954A44"/>
    <w:rsid w:val="009573D8"/>
    <w:rsid w:val="00965493"/>
    <w:rsid w:val="00970048"/>
    <w:rsid w:val="00971A76"/>
    <w:rsid w:val="00974C31"/>
    <w:rsid w:val="00977D48"/>
    <w:rsid w:val="00980A70"/>
    <w:rsid w:val="00982C45"/>
    <w:rsid w:val="00983927"/>
    <w:rsid w:val="00993007"/>
    <w:rsid w:val="009A257E"/>
    <w:rsid w:val="009A2A31"/>
    <w:rsid w:val="009A7BC0"/>
    <w:rsid w:val="009B22D0"/>
    <w:rsid w:val="009B3DFA"/>
    <w:rsid w:val="009C784A"/>
    <w:rsid w:val="009E0711"/>
    <w:rsid w:val="009E47DA"/>
    <w:rsid w:val="009E77E1"/>
    <w:rsid w:val="009F1D4D"/>
    <w:rsid w:val="00A020D7"/>
    <w:rsid w:val="00A03980"/>
    <w:rsid w:val="00A15070"/>
    <w:rsid w:val="00A201B4"/>
    <w:rsid w:val="00A24D2C"/>
    <w:rsid w:val="00A27BE3"/>
    <w:rsid w:val="00A473EB"/>
    <w:rsid w:val="00A60272"/>
    <w:rsid w:val="00A612D2"/>
    <w:rsid w:val="00A64B3E"/>
    <w:rsid w:val="00A6509F"/>
    <w:rsid w:val="00A73267"/>
    <w:rsid w:val="00A76E24"/>
    <w:rsid w:val="00A84A4A"/>
    <w:rsid w:val="00A85D89"/>
    <w:rsid w:val="00A87B3A"/>
    <w:rsid w:val="00A9452D"/>
    <w:rsid w:val="00AA4844"/>
    <w:rsid w:val="00AB006B"/>
    <w:rsid w:val="00AB4EAA"/>
    <w:rsid w:val="00AB4FB3"/>
    <w:rsid w:val="00AD0E9B"/>
    <w:rsid w:val="00AD6FC5"/>
    <w:rsid w:val="00AD774A"/>
    <w:rsid w:val="00B024B6"/>
    <w:rsid w:val="00B121C0"/>
    <w:rsid w:val="00B157E7"/>
    <w:rsid w:val="00B16AE8"/>
    <w:rsid w:val="00B2157E"/>
    <w:rsid w:val="00B21ADA"/>
    <w:rsid w:val="00B45B26"/>
    <w:rsid w:val="00B5487E"/>
    <w:rsid w:val="00B64D7A"/>
    <w:rsid w:val="00B65062"/>
    <w:rsid w:val="00B66A58"/>
    <w:rsid w:val="00B67C07"/>
    <w:rsid w:val="00B71EB1"/>
    <w:rsid w:val="00B758F6"/>
    <w:rsid w:val="00B7614E"/>
    <w:rsid w:val="00B84FBC"/>
    <w:rsid w:val="00B86C14"/>
    <w:rsid w:val="00BB020D"/>
    <w:rsid w:val="00BB2B6E"/>
    <w:rsid w:val="00BC4EC9"/>
    <w:rsid w:val="00BD723B"/>
    <w:rsid w:val="00BE142E"/>
    <w:rsid w:val="00BE4EFA"/>
    <w:rsid w:val="00BF2B33"/>
    <w:rsid w:val="00C061ED"/>
    <w:rsid w:val="00C10718"/>
    <w:rsid w:val="00C20AB5"/>
    <w:rsid w:val="00C245FC"/>
    <w:rsid w:val="00C27F60"/>
    <w:rsid w:val="00C31511"/>
    <w:rsid w:val="00C3507A"/>
    <w:rsid w:val="00C35E9F"/>
    <w:rsid w:val="00C43D96"/>
    <w:rsid w:val="00C44346"/>
    <w:rsid w:val="00C52375"/>
    <w:rsid w:val="00C6639D"/>
    <w:rsid w:val="00C81F3C"/>
    <w:rsid w:val="00C84A19"/>
    <w:rsid w:val="00C94C30"/>
    <w:rsid w:val="00C97F23"/>
    <w:rsid w:val="00CA00CB"/>
    <w:rsid w:val="00CC243C"/>
    <w:rsid w:val="00CC7F21"/>
    <w:rsid w:val="00CF2163"/>
    <w:rsid w:val="00D00293"/>
    <w:rsid w:val="00D0145C"/>
    <w:rsid w:val="00D019BC"/>
    <w:rsid w:val="00D13A3E"/>
    <w:rsid w:val="00D25A9F"/>
    <w:rsid w:val="00D27373"/>
    <w:rsid w:val="00D3293D"/>
    <w:rsid w:val="00D35AB8"/>
    <w:rsid w:val="00D4002A"/>
    <w:rsid w:val="00D415B7"/>
    <w:rsid w:val="00D4386B"/>
    <w:rsid w:val="00D62A1A"/>
    <w:rsid w:val="00D65B1E"/>
    <w:rsid w:val="00D6768B"/>
    <w:rsid w:val="00D67FCD"/>
    <w:rsid w:val="00D7296C"/>
    <w:rsid w:val="00D73C0D"/>
    <w:rsid w:val="00D77922"/>
    <w:rsid w:val="00D86D05"/>
    <w:rsid w:val="00DB2618"/>
    <w:rsid w:val="00DB693F"/>
    <w:rsid w:val="00DC10D5"/>
    <w:rsid w:val="00DC2D07"/>
    <w:rsid w:val="00DC63CF"/>
    <w:rsid w:val="00DD01E1"/>
    <w:rsid w:val="00DD0787"/>
    <w:rsid w:val="00DD2C84"/>
    <w:rsid w:val="00DE12D1"/>
    <w:rsid w:val="00DE5E47"/>
    <w:rsid w:val="00DE7DEB"/>
    <w:rsid w:val="00DF0085"/>
    <w:rsid w:val="00DF0C93"/>
    <w:rsid w:val="00DF5610"/>
    <w:rsid w:val="00E029F6"/>
    <w:rsid w:val="00E12DFF"/>
    <w:rsid w:val="00E167F5"/>
    <w:rsid w:val="00E16D25"/>
    <w:rsid w:val="00E20037"/>
    <w:rsid w:val="00E30CDC"/>
    <w:rsid w:val="00E40389"/>
    <w:rsid w:val="00E43E0C"/>
    <w:rsid w:val="00E545E2"/>
    <w:rsid w:val="00E60FC4"/>
    <w:rsid w:val="00E71AED"/>
    <w:rsid w:val="00E73196"/>
    <w:rsid w:val="00E81187"/>
    <w:rsid w:val="00E90141"/>
    <w:rsid w:val="00EA3636"/>
    <w:rsid w:val="00EB0B9C"/>
    <w:rsid w:val="00EB1B3A"/>
    <w:rsid w:val="00EB2203"/>
    <w:rsid w:val="00EC5274"/>
    <w:rsid w:val="00EC5AAF"/>
    <w:rsid w:val="00EC5F08"/>
    <w:rsid w:val="00ED5ECE"/>
    <w:rsid w:val="00EF6A76"/>
    <w:rsid w:val="00F03A9E"/>
    <w:rsid w:val="00F14689"/>
    <w:rsid w:val="00F201B9"/>
    <w:rsid w:val="00F30577"/>
    <w:rsid w:val="00F3097E"/>
    <w:rsid w:val="00F350AC"/>
    <w:rsid w:val="00F410AA"/>
    <w:rsid w:val="00F43F4B"/>
    <w:rsid w:val="00F4682E"/>
    <w:rsid w:val="00F828CE"/>
    <w:rsid w:val="00F86D1F"/>
    <w:rsid w:val="00F87662"/>
    <w:rsid w:val="00F91FF5"/>
    <w:rsid w:val="00F969E1"/>
    <w:rsid w:val="00F97947"/>
    <w:rsid w:val="00FA3F0B"/>
    <w:rsid w:val="00FB5AB8"/>
    <w:rsid w:val="00FC1403"/>
    <w:rsid w:val="00FC5621"/>
    <w:rsid w:val="00FD3350"/>
    <w:rsid w:val="00F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DED7667"/>
  <w15:docId w15:val="{864BCE2A-8B6E-4C2F-ADE3-F5FBA98A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eastAsia="MS Mincho"/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tabs>
        <w:tab w:val="left" w:pos="1080"/>
        <w:tab w:val="left" w:pos="8789"/>
      </w:tabs>
      <w:autoSpaceDE w:val="0"/>
      <w:autoSpaceDN w:val="0"/>
      <w:adjustRightInd w:val="0"/>
      <w:ind w:left="284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ind w:left="284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color w:val="00000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Referencia">
    <w:name w:val="Referencia"/>
    <w:basedOn w:val="Textodecomentrio"/>
    <w:pPr>
      <w:spacing w:before="120"/>
      <w:jc w:val="center"/>
    </w:pPr>
  </w:style>
  <w:style w:type="paragraph" w:styleId="Textodecomentrio">
    <w:name w:val="annotation text"/>
    <w:basedOn w:val="Normal"/>
    <w:semiHidden/>
  </w:style>
  <w:style w:type="paragraph" w:styleId="TextosemFormatao">
    <w:name w:val="Plain Text"/>
    <w:basedOn w:val="Normal"/>
    <w:semiHidden/>
    <w:pPr>
      <w:jc w:val="both"/>
    </w:pPr>
    <w:rPr>
      <w:rFonts w:ascii="Courier New" w:hAnsi="Courier New"/>
    </w:rPr>
  </w:style>
  <w:style w:type="paragraph" w:styleId="Textoembloco">
    <w:name w:val="Block Text"/>
    <w:basedOn w:val="Normal"/>
    <w:semiHidden/>
    <w:pPr>
      <w:ind w:left="284" w:right="454" w:hanging="284"/>
      <w:jc w:val="both"/>
    </w:pPr>
  </w:style>
  <w:style w:type="paragraph" w:styleId="Corpodetexto">
    <w:name w:val="Body Text"/>
    <w:basedOn w:val="Normal"/>
    <w:semiHidden/>
    <w:pPr>
      <w:ind w:right="453"/>
      <w:jc w:val="both"/>
    </w:pPr>
  </w:style>
  <w:style w:type="paragraph" w:customStyle="1" w:styleId="ementa">
    <w:name w:val="ementa"/>
    <w:next w:val="Normal"/>
    <w:autoRedefine/>
    <w:pPr>
      <w:ind w:left="5103"/>
      <w:jc w:val="both"/>
    </w:pPr>
    <w:rPr>
      <w:sz w:val="24"/>
    </w:rPr>
  </w:style>
  <w:style w:type="paragraph" w:customStyle="1" w:styleId="ttulo">
    <w:name w:val="título"/>
    <w:next w:val="ementa"/>
    <w:autoRedefine/>
    <w:pPr>
      <w:jc w:val="center"/>
    </w:pPr>
    <w:rPr>
      <w:smallCaps/>
    </w:rPr>
  </w:style>
  <w:style w:type="paragraph" w:styleId="Ttulo0">
    <w:name w:val="Title"/>
    <w:basedOn w:val="Normal"/>
    <w:qFormat/>
    <w:pPr>
      <w:tabs>
        <w:tab w:val="left" w:pos="1418"/>
        <w:tab w:val="left" w:pos="1701"/>
      </w:tabs>
      <w:jc w:val="center"/>
    </w:pPr>
    <w:rPr>
      <w:sz w:val="24"/>
    </w:rPr>
  </w:style>
  <w:style w:type="paragraph" w:styleId="Recuodecorpodetexto">
    <w:name w:val="Body Text Indent"/>
    <w:basedOn w:val="Normal"/>
    <w:semiHidden/>
    <w:pPr>
      <w:tabs>
        <w:tab w:val="left" w:pos="1418"/>
        <w:tab w:val="left" w:pos="1701"/>
      </w:tabs>
      <w:ind w:left="5103"/>
      <w:jc w:val="both"/>
    </w:pPr>
    <w:rPr>
      <w:sz w:val="24"/>
    </w:rPr>
  </w:style>
  <w:style w:type="paragraph" w:customStyle="1" w:styleId="fecho">
    <w:name w:val="fecho"/>
    <w:basedOn w:val="Normal"/>
    <w:next w:val="Normal"/>
    <w:pPr>
      <w:tabs>
        <w:tab w:val="left" w:pos="1418"/>
      </w:tabs>
      <w:ind w:left="5103"/>
      <w:jc w:val="both"/>
    </w:pPr>
    <w:rPr>
      <w:sz w:val="24"/>
    </w:rPr>
  </w:style>
  <w:style w:type="paragraph" w:customStyle="1" w:styleId="Ementa0">
    <w:name w:val="Ementa"/>
    <w:basedOn w:val="Normal"/>
    <w:next w:val="Normal"/>
    <w:pPr>
      <w:spacing w:after="360"/>
      <w:ind w:left="5103"/>
      <w:jc w:val="both"/>
    </w:pPr>
    <w:rPr>
      <w:sz w:val="24"/>
    </w:rPr>
  </w:style>
  <w:style w:type="paragraph" w:customStyle="1" w:styleId="Epgrafe">
    <w:name w:val="Epígrafe"/>
    <w:next w:val="Ementa0"/>
    <w:pPr>
      <w:widowControl w:val="0"/>
      <w:numPr>
        <w:numId w:val="2"/>
      </w:numPr>
      <w:tabs>
        <w:tab w:val="clear" w:pos="1800"/>
      </w:tabs>
      <w:spacing w:after="360"/>
      <w:jc w:val="center"/>
      <w:outlineLvl w:val="0"/>
    </w:pPr>
    <w:rPr>
      <w:noProof/>
      <w:sz w:val="24"/>
    </w:rPr>
  </w:style>
  <w:style w:type="paragraph" w:customStyle="1" w:styleId="Linha">
    <w:name w:val="Linha"/>
    <w:basedOn w:val="Normal"/>
    <w:next w:val="Normal"/>
    <w:pPr>
      <w:tabs>
        <w:tab w:val="right" w:leader="underscore" w:pos="10206"/>
      </w:tabs>
      <w:jc w:val="both"/>
    </w:pPr>
    <w:rPr>
      <w:sz w:val="24"/>
    </w:rPr>
  </w:style>
  <w:style w:type="paragraph" w:customStyle="1" w:styleId="Rodap29">
    <w:name w:val="Rodapé29"/>
    <w:basedOn w:val="Normal"/>
    <w:pPr>
      <w:jc w:val="both"/>
    </w:pPr>
    <w:rPr>
      <w:sz w:val="24"/>
    </w:rPr>
  </w:style>
  <w:style w:type="paragraph" w:styleId="Recuodecorpodetexto2">
    <w:name w:val="Body Text Indent 2"/>
    <w:basedOn w:val="Normal"/>
    <w:semiHidden/>
    <w:pPr>
      <w:tabs>
        <w:tab w:val="left" w:pos="1418"/>
      </w:tabs>
      <w:ind w:firstLine="1416"/>
      <w:jc w:val="both"/>
    </w:pPr>
    <w:rPr>
      <w:sz w:val="24"/>
      <w:lang w:val="es-ES_tradnl"/>
    </w:rPr>
  </w:style>
  <w:style w:type="paragraph" w:styleId="Corpodetexto2">
    <w:name w:val="Body Text 2"/>
    <w:basedOn w:val="Normal"/>
    <w:semiHidden/>
    <w:pPr>
      <w:ind w:right="453"/>
      <w:jc w:val="both"/>
    </w:pPr>
    <w:rPr>
      <w:rFonts w:eastAsia="MS Mincho"/>
      <w:sz w:val="24"/>
    </w:rPr>
  </w:style>
  <w:style w:type="paragraph" w:styleId="Recuodecorpodetexto3">
    <w:name w:val="Body Text Indent 3"/>
    <w:basedOn w:val="Normal"/>
    <w:link w:val="Recuodecorpodetexto3Char"/>
    <w:semiHidden/>
    <w:pPr>
      <w:tabs>
        <w:tab w:val="right" w:pos="10064"/>
      </w:tabs>
      <w:ind w:left="284" w:hanging="284"/>
      <w:jc w:val="both"/>
    </w:pPr>
  </w:style>
  <w:style w:type="paragraph" w:customStyle="1" w:styleId="parag">
    <w:name w:val="parag"/>
    <w:pPr>
      <w:tabs>
        <w:tab w:val="left" w:pos="1418"/>
      </w:tabs>
      <w:ind w:firstLine="1418"/>
      <w:jc w:val="both"/>
    </w:pPr>
    <w:rPr>
      <w:sz w:val="24"/>
    </w:rPr>
  </w:style>
  <w:style w:type="paragraph" w:customStyle="1" w:styleId="expandido">
    <w:name w:val="expandido"/>
    <w:next w:val="Normal"/>
    <w:pPr>
      <w:tabs>
        <w:tab w:val="left" w:pos="1418"/>
      </w:tabs>
    </w:pPr>
    <w:rPr>
      <w:sz w:val="24"/>
    </w:rPr>
  </w:style>
  <w:style w:type="paragraph" w:customStyle="1" w:styleId="citao">
    <w:name w:val="citação"/>
    <w:pPr>
      <w:tabs>
        <w:tab w:val="right" w:leader="dot" w:pos="10206"/>
      </w:tabs>
      <w:ind w:left="709" w:firstLine="709"/>
      <w:jc w:val="both"/>
    </w:pPr>
    <w:rPr>
      <w:sz w:val="24"/>
    </w:rPr>
  </w:style>
  <w:style w:type="paragraph" w:customStyle="1" w:styleId="Artigo">
    <w:name w:val="Artigo"/>
    <w:basedOn w:val="parag"/>
    <w:autoRedefine/>
    <w:pPr>
      <w:numPr>
        <w:numId w:val="3"/>
      </w:numPr>
      <w:suppressLineNumbers/>
      <w:tabs>
        <w:tab w:val="clear" w:pos="1418"/>
        <w:tab w:val="left" w:pos="1701"/>
      </w:tabs>
      <w:spacing w:after="240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1">
    <w:name w:val="texto1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pPr>
      <w:tabs>
        <w:tab w:val="left" w:pos="1260"/>
      </w:tabs>
    </w:pPr>
    <w:rPr>
      <w:color w:val="000000"/>
    </w:rPr>
  </w:style>
  <w:style w:type="paragraph" w:customStyle="1" w:styleId="vocativo">
    <w:name w:val="vocativo"/>
    <w:pPr>
      <w:widowControl w:val="0"/>
      <w:suppressAutoHyphens/>
      <w:spacing w:after="240" w:line="360" w:lineRule="auto"/>
      <w:jc w:val="both"/>
    </w:pPr>
    <w:rPr>
      <w:rFonts w:ascii="Arial" w:hAnsi="Arial"/>
      <w:sz w:val="24"/>
      <w:lang w:eastAsia="ar-SA"/>
    </w:rPr>
  </w:style>
  <w:style w:type="paragraph" w:customStyle="1" w:styleId="Seo">
    <w:name w:val="Seção"/>
    <w:basedOn w:val="Normal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05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562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87589"/>
  </w:style>
  <w:style w:type="character" w:customStyle="1" w:styleId="Corpodetexto3Char">
    <w:name w:val="Corpo de texto 3 Char"/>
    <w:basedOn w:val="Fontepargpadro"/>
    <w:link w:val="Corpodetexto3"/>
    <w:semiHidden/>
    <w:rsid w:val="002236D2"/>
    <w:rPr>
      <w:color w:val="000000"/>
    </w:rPr>
  </w:style>
  <w:style w:type="character" w:customStyle="1" w:styleId="RodapChar">
    <w:name w:val="Rodapé Char"/>
    <w:basedOn w:val="Fontepargpadro"/>
    <w:link w:val="Rodap"/>
    <w:semiHidden/>
    <w:rsid w:val="00EB2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%20MC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MCR.dot</Template>
  <TotalTime>301</TotalTime>
  <Pages>2</Pages>
  <Words>936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Banco Central do Brasil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creator>Banco Central do Brasil</dc:creator>
  <cp:lastModifiedBy>Claudio Baruzzi</cp:lastModifiedBy>
  <cp:revision>37</cp:revision>
  <cp:lastPrinted>2015-06-03T17:42:00Z</cp:lastPrinted>
  <dcterms:created xsi:type="dcterms:W3CDTF">2014-07-23T14:34:00Z</dcterms:created>
  <dcterms:modified xsi:type="dcterms:W3CDTF">2021-05-01T22:06:00Z</dcterms:modified>
</cp:coreProperties>
</file>