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D60B2" w14:textId="77777777" w:rsidR="00E76818" w:rsidRDefault="00E76818" w:rsidP="00E76818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>
        <w:t>TÍTULO</w:t>
      </w:r>
      <w:r>
        <w:tab/>
        <w:t>: CRÉDITO RURAL</w:t>
      </w:r>
      <w:r>
        <w:tab/>
      </w:r>
      <w:r>
        <w:fldChar w:fldCharType="begin"/>
      </w:r>
      <w:r>
        <w:instrText xml:space="preserve"> PAGE  \* MERGEFORMAT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p w14:paraId="1403684E" w14:textId="77777777" w:rsidR="00E76818" w:rsidRDefault="00E76818" w:rsidP="00E76818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>
        <w:t>CAPÍTULO</w:t>
      </w:r>
      <w:r>
        <w:tab/>
        <w:t xml:space="preserve">: Créditos a </w:t>
      </w:r>
      <w:r w:rsidRPr="005F0554">
        <w:t>Cooperativas de Produção Agropecuária</w:t>
      </w:r>
      <w:r>
        <w:t xml:space="preserve"> - 5</w:t>
      </w:r>
    </w:p>
    <w:p w14:paraId="61C5316E" w14:textId="77777777" w:rsidR="00E76818" w:rsidRDefault="00E76818" w:rsidP="00E76818">
      <w:pPr>
        <w:pStyle w:val="Cabealho"/>
        <w:tabs>
          <w:tab w:val="clear" w:pos="4419"/>
          <w:tab w:val="clear" w:pos="8838"/>
          <w:tab w:val="left" w:pos="993"/>
          <w:tab w:val="right" w:pos="9639"/>
          <w:tab w:val="right" w:pos="9923"/>
        </w:tabs>
      </w:pPr>
      <w:r>
        <w:t>SEÇÃO</w:t>
      </w:r>
      <w:r>
        <w:tab/>
        <w:t xml:space="preserve">: </w:t>
      </w:r>
      <w:r w:rsidRPr="007F7490">
        <w:t>Taxa de Retenção</w:t>
      </w:r>
      <w:r>
        <w:t xml:space="preserve"> - 4</w:t>
      </w:r>
      <w:r>
        <w:tab/>
      </w:r>
      <w:r>
        <w:tab/>
        <w:t>(*)</w:t>
      </w:r>
    </w:p>
    <w:p w14:paraId="65063288" w14:textId="77777777" w:rsidR="00E76818" w:rsidRDefault="00E76818" w:rsidP="00E76818">
      <w:pPr>
        <w:pStyle w:val="Cabealho"/>
        <w:tabs>
          <w:tab w:val="clear" w:pos="4419"/>
          <w:tab w:val="clear" w:pos="8838"/>
          <w:tab w:val="left" w:pos="1134"/>
          <w:tab w:val="right" w:pos="9639"/>
        </w:tabs>
      </w:pPr>
      <w:r>
        <w:t>_____________________________________________________________________________________________</w:t>
      </w:r>
    </w:p>
    <w:p w14:paraId="39CD88FD" w14:textId="77777777" w:rsidR="00E76818" w:rsidRPr="00D103F1" w:rsidRDefault="00E76818" w:rsidP="00E76818">
      <w:pPr>
        <w:pStyle w:val="Cabealho"/>
        <w:tabs>
          <w:tab w:val="clear" w:pos="4419"/>
          <w:tab w:val="clear" w:pos="8838"/>
          <w:tab w:val="left" w:pos="1134"/>
        </w:tabs>
      </w:pPr>
    </w:p>
    <w:p w14:paraId="36FC1D11" w14:textId="77777777" w:rsidR="00D103F1" w:rsidRPr="00D103F1" w:rsidRDefault="00996FED" w:rsidP="00D103F1">
      <w:pPr>
        <w:tabs>
          <w:tab w:val="right" w:pos="9923"/>
        </w:tabs>
        <w:spacing w:after="120"/>
        <w:ind w:left="284" w:hanging="284"/>
        <w:jc w:val="both"/>
        <w:rPr>
          <w:bCs/>
        </w:rPr>
      </w:pPr>
      <w:r w:rsidRPr="00D103F1">
        <w:rPr>
          <w:bCs/>
        </w:rPr>
        <w:t xml:space="preserve">1 - </w:t>
      </w:r>
      <w:r w:rsidR="00D103F1" w:rsidRPr="00D103F1">
        <w:rPr>
          <w:bCs/>
        </w:rPr>
        <w:t>Admite-se a concessão de crédito a cooperativa de produção agropecuária como antecipação de recursos originários de taxa de retenção incidente sobre operações com os cooperados.</w:t>
      </w:r>
    </w:p>
    <w:p w14:paraId="00F3E2BB" w14:textId="77777777" w:rsidR="00D103F1" w:rsidRPr="00D103F1" w:rsidRDefault="00D103F1" w:rsidP="00D103F1">
      <w:pPr>
        <w:tabs>
          <w:tab w:val="right" w:pos="9923"/>
        </w:tabs>
        <w:spacing w:after="120"/>
        <w:ind w:left="284" w:hanging="284"/>
        <w:jc w:val="both"/>
        <w:rPr>
          <w:bCs/>
        </w:rPr>
      </w:pPr>
      <w:r w:rsidRPr="00D103F1">
        <w:rPr>
          <w:bCs/>
        </w:rPr>
        <w:t>2 - O crédito tem por objetivo suprir a cooperativa de recursos financeiros para prestação de serviços ou para investimentos indispensáveis ao seu adequado aparelhamento e funcionamento.</w:t>
      </w:r>
    </w:p>
    <w:p w14:paraId="274DD356" w14:textId="77777777" w:rsidR="00D103F1" w:rsidRPr="00D103F1" w:rsidRDefault="00D103F1" w:rsidP="00D103F1">
      <w:pPr>
        <w:tabs>
          <w:tab w:val="right" w:pos="9923"/>
        </w:tabs>
        <w:spacing w:after="120"/>
        <w:ind w:left="284" w:hanging="284"/>
        <w:jc w:val="both"/>
        <w:rPr>
          <w:bCs/>
        </w:rPr>
      </w:pPr>
      <w:r w:rsidRPr="00D103F1">
        <w:rPr>
          <w:bCs/>
        </w:rPr>
        <w:t>3 - O crédito só é admissível quando não se puder optar pela antecipação de recursos para integralização de cotas-partes e desde que a mobilização dos ingressos não reduza as futuras disponibilidades de giro a níveis insatisfatórios.</w:t>
      </w:r>
    </w:p>
    <w:p w14:paraId="6FB154F2" w14:textId="77777777" w:rsidR="00D103F1" w:rsidRPr="00D103F1" w:rsidRDefault="00D103F1" w:rsidP="00D103F1">
      <w:pPr>
        <w:tabs>
          <w:tab w:val="right" w:pos="9923"/>
        </w:tabs>
        <w:spacing w:after="120"/>
        <w:ind w:left="284" w:hanging="284"/>
        <w:jc w:val="both"/>
        <w:rPr>
          <w:bCs/>
        </w:rPr>
      </w:pPr>
      <w:r w:rsidRPr="00D103F1">
        <w:rPr>
          <w:bCs/>
        </w:rPr>
        <w:t>4 - Os recursos provenientes do crédito podem ser aplicados em capital de giro, custeio ou investimento.</w:t>
      </w:r>
    </w:p>
    <w:p w14:paraId="0114B0EE" w14:textId="77777777" w:rsidR="00D103F1" w:rsidRPr="00D103F1" w:rsidRDefault="00D103F1" w:rsidP="00D103F1">
      <w:pPr>
        <w:tabs>
          <w:tab w:val="right" w:pos="9923"/>
        </w:tabs>
        <w:ind w:left="284" w:hanging="284"/>
        <w:jc w:val="both"/>
        <w:rPr>
          <w:bCs/>
        </w:rPr>
      </w:pPr>
      <w:r w:rsidRPr="00D103F1">
        <w:rPr>
          <w:bCs/>
        </w:rPr>
        <w:t>5 - O crédito pode abranger os ingressos esperados no prazo máximo de:</w:t>
      </w:r>
    </w:p>
    <w:p w14:paraId="11D450A3" w14:textId="77777777" w:rsidR="00D103F1" w:rsidRPr="00D103F1" w:rsidRDefault="00D103F1" w:rsidP="00D103F1">
      <w:pPr>
        <w:tabs>
          <w:tab w:val="right" w:pos="9923"/>
        </w:tabs>
        <w:ind w:left="568" w:hanging="284"/>
        <w:jc w:val="both"/>
        <w:rPr>
          <w:bCs/>
        </w:rPr>
      </w:pPr>
      <w:r w:rsidRPr="00D103F1">
        <w:rPr>
          <w:bCs/>
        </w:rPr>
        <w:t>a) 1 (um) ano, para a parcela de recursos a aplicar em capital de giro ou custeio;</w:t>
      </w:r>
    </w:p>
    <w:p w14:paraId="19263D35" w14:textId="77777777" w:rsidR="00D103F1" w:rsidRPr="00D103F1" w:rsidRDefault="00D103F1" w:rsidP="00D103F1">
      <w:pPr>
        <w:tabs>
          <w:tab w:val="right" w:pos="9923"/>
        </w:tabs>
        <w:spacing w:after="120"/>
        <w:ind w:left="568" w:hanging="284"/>
        <w:jc w:val="both"/>
        <w:rPr>
          <w:bCs/>
        </w:rPr>
      </w:pPr>
      <w:r w:rsidRPr="00D103F1">
        <w:rPr>
          <w:bCs/>
        </w:rPr>
        <w:t>b) 3 (três) anos, para a parcela de recursos a aplicar em investimentos.</w:t>
      </w:r>
    </w:p>
    <w:p w14:paraId="6B06DDE0" w14:textId="77777777" w:rsidR="00D103F1" w:rsidRPr="00D103F1" w:rsidRDefault="00D103F1" w:rsidP="00D103F1">
      <w:pPr>
        <w:tabs>
          <w:tab w:val="right" w:pos="9923"/>
        </w:tabs>
        <w:ind w:left="284" w:hanging="284"/>
        <w:jc w:val="both"/>
        <w:rPr>
          <w:bCs/>
        </w:rPr>
      </w:pPr>
      <w:r w:rsidRPr="00D103F1">
        <w:rPr>
          <w:bCs/>
        </w:rPr>
        <w:t>6 - Para formalização do crédito exige-se:</w:t>
      </w:r>
    </w:p>
    <w:p w14:paraId="017AC4BD" w14:textId="77777777" w:rsidR="00D103F1" w:rsidRPr="00D103F1" w:rsidRDefault="00D103F1" w:rsidP="00D103F1">
      <w:pPr>
        <w:tabs>
          <w:tab w:val="right" w:pos="9923"/>
        </w:tabs>
        <w:ind w:left="568" w:hanging="284"/>
        <w:jc w:val="both"/>
        <w:rPr>
          <w:bCs/>
        </w:rPr>
      </w:pPr>
      <w:r w:rsidRPr="00D103F1">
        <w:rPr>
          <w:bCs/>
        </w:rPr>
        <w:t>a) documento comprobatório da legitimidade da taxa de retenção (estatutos da cooperativa ou ata da assembleia que a autorizou);</w:t>
      </w:r>
    </w:p>
    <w:p w14:paraId="5DDA472C" w14:textId="77777777" w:rsidR="00D103F1" w:rsidRPr="00D103F1" w:rsidRDefault="00D103F1" w:rsidP="00D103F1">
      <w:pPr>
        <w:tabs>
          <w:tab w:val="right" w:pos="9923"/>
        </w:tabs>
        <w:ind w:left="568" w:hanging="284"/>
        <w:jc w:val="both"/>
        <w:rPr>
          <w:bCs/>
        </w:rPr>
      </w:pPr>
      <w:r w:rsidRPr="00D103F1">
        <w:rPr>
          <w:bCs/>
        </w:rPr>
        <w:t>b) demonstrativo da taxa de retenção ingressada no último biênio e projeção dos ingressos a financiar, com indicação do fato gerador (operação ativa ou passiva);</w:t>
      </w:r>
    </w:p>
    <w:p w14:paraId="19E94BE3" w14:textId="77777777" w:rsidR="00D103F1" w:rsidRPr="00D103F1" w:rsidRDefault="00D103F1" w:rsidP="00D103F1">
      <w:pPr>
        <w:tabs>
          <w:tab w:val="right" w:pos="9923"/>
        </w:tabs>
        <w:ind w:left="568" w:hanging="284"/>
        <w:jc w:val="both"/>
        <w:rPr>
          <w:bCs/>
        </w:rPr>
      </w:pPr>
      <w:r w:rsidRPr="00D103F1">
        <w:rPr>
          <w:bCs/>
        </w:rPr>
        <w:t>c) orçamento de aplicação dos recursos, quando prevista sua utilização em custeio ou investimento;</w:t>
      </w:r>
    </w:p>
    <w:p w14:paraId="26110DCC" w14:textId="77777777" w:rsidR="00D103F1" w:rsidRPr="00D103F1" w:rsidRDefault="00D103F1" w:rsidP="00D103F1">
      <w:pPr>
        <w:tabs>
          <w:tab w:val="right" w:pos="9923"/>
        </w:tabs>
        <w:spacing w:after="120"/>
        <w:ind w:left="568" w:hanging="284"/>
        <w:jc w:val="both"/>
        <w:rPr>
          <w:bCs/>
        </w:rPr>
      </w:pPr>
      <w:r w:rsidRPr="00D103F1">
        <w:rPr>
          <w:bCs/>
        </w:rPr>
        <w:t>d) declaração da cooperativa de que não recebeu empréstimo de outra instituição financeira, com base nas mesmas receitas, informando a eventual existência de débito anterior referente a taxas de retenção.</w:t>
      </w:r>
    </w:p>
    <w:p w14:paraId="774B05C6" w14:textId="77777777" w:rsidR="00D103F1" w:rsidRPr="00D103F1" w:rsidRDefault="00D103F1" w:rsidP="00D103F1">
      <w:pPr>
        <w:tabs>
          <w:tab w:val="right" w:pos="9923"/>
        </w:tabs>
        <w:spacing w:after="120"/>
        <w:ind w:left="284" w:hanging="284"/>
        <w:jc w:val="both"/>
        <w:rPr>
          <w:bCs/>
        </w:rPr>
      </w:pPr>
      <w:r w:rsidRPr="00D103F1">
        <w:rPr>
          <w:bCs/>
        </w:rPr>
        <w:t>7 - O crédito pode ser utilizado de uma só vez ou em parcelas, segundo o cronograma de uso dos recursos.</w:t>
      </w:r>
    </w:p>
    <w:p w14:paraId="142985C0" w14:textId="77777777" w:rsidR="00D103F1" w:rsidRPr="00D103F1" w:rsidRDefault="00D103F1" w:rsidP="00D103F1">
      <w:pPr>
        <w:tabs>
          <w:tab w:val="right" w:pos="9923"/>
        </w:tabs>
        <w:ind w:left="284" w:hanging="284"/>
        <w:jc w:val="both"/>
        <w:rPr>
          <w:bCs/>
        </w:rPr>
      </w:pPr>
      <w:r w:rsidRPr="00D103F1">
        <w:rPr>
          <w:bCs/>
        </w:rPr>
        <w:t>8 - Aplicam-se ao crédito as seguintes disposições especiais:</w:t>
      </w:r>
    </w:p>
    <w:p w14:paraId="17FCE44E" w14:textId="77777777" w:rsidR="00D103F1" w:rsidRPr="00D103F1" w:rsidRDefault="00D103F1" w:rsidP="00D103F1">
      <w:pPr>
        <w:tabs>
          <w:tab w:val="right" w:pos="9923"/>
        </w:tabs>
        <w:ind w:left="568" w:hanging="284"/>
        <w:jc w:val="both"/>
        <w:rPr>
          <w:bCs/>
        </w:rPr>
      </w:pPr>
      <w:r w:rsidRPr="00D103F1">
        <w:rPr>
          <w:bCs/>
        </w:rPr>
        <w:t>a) o valor das retenções deve ser convertido em cotas de capital, vedando-se o rateio como sobras, salvo quando se tratar de remuneração de serviços prestados pela cooperativa;</w:t>
      </w:r>
    </w:p>
    <w:p w14:paraId="5BCF37BC" w14:textId="77777777" w:rsidR="00D103F1" w:rsidRPr="00D103F1" w:rsidRDefault="00D103F1" w:rsidP="00D103F1">
      <w:pPr>
        <w:tabs>
          <w:tab w:val="right" w:pos="9923"/>
        </w:tabs>
        <w:ind w:left="568" w:hanging="284"/>
        <w:jc w:val="both"/>
        <w:rPr>
          <w:bCs/>
        </w:rPr>
      </w:pPr>
      <w:r w:rsidRPr="00D103F1">
        <w:rPr>
          <w:bCs/>
        </w:rPr>
        <w:t>b) o cronograma de reembolso deve ser fixado em função das épocas previstas para a cooperativa receber o valor das retenções, exigindo-se que os ingressos ocorridos em cada mês sejam recolhidos para amortização da dívida até o dia 20 do mês subsequente, sem prejuízo do disposto nas alíneas “c” e “d”;</w:t>
      </w:r>
    </w:p>
    <w:p w14:paraId="379A185D" w14:textId="77777777" w:rsidR="00D103F1" w:rsidRPr="00D103F1" w:rsidRDefault="00D103F1" w:rsidP="00D103F1">
      <w:pPr>
        <w:tabs>
          <w:tab w:val="right" w:pos="9923"/>
        </w:tabs>
        <w:ind w:left="568" w:hanging="284"/>
        <w:jc w:val="both"/>
        <w:rPr>
          <w:bCs/>
        </w:rPr>
      </w:pPr>
      <w:r w:rsidRPr="00D103F1">
        <w:rPr>
          <w:bCs/>
        </w:rPr>
        <w:t>c) se o financiamento tiver prazo não superior a 1 (um) ano, pode-se estabelecer vencimento único, sem a necessidade de amortizações intermediárias;</w:t>
      </w:r>
    </w:p>
    <w:p w14:paraId="2DA5854C" w14:textId="77777777" w:rsidR="00D103F1" w:rsidRPr="00D103F1" w:rsidRDefault="00D103F1" w:rsidP="00D103F1">
      <w:pPr>
        <w:tabs>
          <w:tab w:val="right" w:pos="9923"/>
        </w:tabs>
        <w:spacing w:after="120"/>
        <w:ind w:left="568" w:hanging="284"/>
        <w:jc w:val="both"/>
        <w:rPr>
          <w:bCs/>
        </w:rPr>
      </w:pPr>
      <w:r w:rsidRPr="00D103F1">
        <w:rPr>
          <w:bCs/>
        </w:rPr>
        <w:t>d) se o financiamento tiver prazo de mais de 1 (um) ano, pode-se conceder carência máxima de 1 (um) ano, exigindo-se o recolhimento de todas as retenções subsequentes, à época de sua realização.</w:t>
      </w:r>
    </w:p>
    <w:p w14:paraId="41F78276" w14:textId="77777777" w:rsidR="00D103F1" w:rsidRPr="00D103F1" w:rsidRDefault="00D103F1" w:rsidP="00D103F1">
      <w:pPr>
        <w:tabs>
          <w:tab w:val="right" w:pos="9923"/>
        </w:tabs>
        <w:spacing w:after="120"/>
        <w:ind w:left="284" w:hanging="284"/>
        <w:jc w:val="both"/>
        <w:rPr>
          <w:bCs/>
        </w:rPr>
      </w:pPr>
      <w:r w:rsidRPr="00D103F1">
        <w:rPr>
          <w:bCs/>
        </w:rPr>
        <w:t>9 - Admite-se para o financiamento o prazo de até 3 (três) anos, incluindo a carência.</w:t>
      </w:r>
    </w:p>
    <w:p w14:paraId="4F54B824" w14:textId="77777777" w:rsidR="00D103F1" w:rsidRPr="00D103F1" w:rsidRDefault="00D103F1" w:rsidP="00D103F1">
      <w:pPr>
        <w:tabs>
          <w:tab w:val="right" w:pos="9923"/>
        </w:tabs>
        <w:ind w:left="284" w:hanging="284"/>
        <w:jc w:val="both"/>
        <w:rPr>
          <w:bCs/>
        </w:rPr>
      </w:pPr>
      <w:r w:rsidRPr="00D103F1">
        <w:rPr>
          <w:bCs/>
        </w:rPr>
        <w:t xml:space="preserve">10 - </w:t>
      </w:r>
      <w:r w:rsidRPr="00D103F1">
        <w:rPr>
          <w:color w:val="000000"/>
        </w:rPr>
        <w:t>Aplicam-se aos créditos de que trata esta Seção as seguintes disposições específicas referentes à fiscalização das operações pelas instituições financeiras:</w:t>
      </w:r>
    </w:p>
    <w:p w14:paraId="00291DAA" w14:textId="77777777" w:rsidR="00D103F1" w:rsidRPr="00D103F1" w:rsidRDefault="00D103F1" w:rsidP="00D103F1">
      <w:pPr>
        <w:tabs>
          <w:tab w:val="right" w:pos="9923"/>
        </w:tabs>
        <w:ind w:left="568" w:hanging="284"/>
        <w:jc w:val="both"/>
        <w:rPr>
          <w:bCs/>
        </w:rPr>
      </w:pPr>
      <w:r w:rsidRPr="00D103F1">
        <w:rPr>
          <w:bCs/>
        </w:rPr>
        <w:t xml:space="preserve">a) </w:t>
      </w:r>
      <w:r w:rsidRPr="00D103F1">
        <w:rPr>
          <w:color w:val="000000"/>
        </w:rPr>
        <w:t>a comprovação das retenções deve ser feita mediante perícias contábeis na cooperativa, no mínimo a cada trimestre;</w:t>
      </w:r>
    </w:p>
    <w:p w14:paraId="4463BB67" w14:textId="77777777" w:rsidR="00D103F1" w:rsidRPr="00D103F1" w:rsidRDefault="00D103F1" w:rsidP="00D103F1">
      <w:pPr>
        <w:tabs>
          <w:tab w:val="right" w:pos="9923"/>
        </w:tabs>
        <w:ind w:left="568" w:hanging="284"/>
        <w:jc w:val="both"/>
        <w:rPr>
          <w:bCs/>
        </w:rPr>
      </w:pPr>
      <w:r w:rsidRPr="00D103F1">
        <w:rPr>
          <w:bCs/>
        </w:rPr>
        <w:t>b) a conversão das retenções em cotas e sua distribuição devem ser comprovadas ao início de cada exercício financeiro, por perícia a ser realizada mesmo se antes sobrevier a liquidação da dívida;</w:t>
      </w:r>
    </w:p>
    <w:p w14:paraId="4119448C" w14:textId="77777777" w:rsidR="00D103F1" w:rsidRPr="00D103F1" w:rsidRDefault="00D103F1" w:rsidP="00D103F1">
      <w:pPr>
        <w:tabs>
          <w:tab w:val="right" w:pos="9923"/>
        </w:tabs>
        <w:ind w:left="568" w:hanging="284"/>
        <w:jc w:val="both"/>
        <w:rPr>
          <w:bCs/>
        </w:rPr>
      </w:pPr>
      <w:r w:rsidRPr="00D103F1">
        <w:rPr>
          <w:bCs/>
        </w:rPr>
        <w:t xml:space="preserve">c) </w:t>
      </w:r>
      <w:r w:rsidRPr="00D103F1">
        <w:rPr>
          <w:color w:val="000000"/>
        </w:rPr>
        <w:t>deve-se comprovar a efetivação dos retornos segundo o fluxo de retenções;</w:t>
      </w:r>
    </w:p>
    <w:p w14:paraId="34A3A04F" w14:textId="016786D4" w:rsidR="00996FED" w:rsidRPr="00D103F1" w:rsidRDefault="00D103F1" w:rsidP="00D103F1">
      <w:pPr>
        <w:tabs>
          <w:tab w:val="right" w:pos="9923"/>
        </w:tabs>
        <w:ind w:left="568" w:hanging="284"/>
        <w:jc w:val="both"/>
        <w:rPr>
          <w:bCs/>
        </w:rPr>
      </w:pPr>
      <w:r w:rsidRPr="00D103F1">
        <w:rPr>
          <w:bCs/>
        </w:rPr>
        <w:t xml:space="preserve">d) </w:t>
      </w:r>
      <w:r w:rsidRPr="00D103F1">
        <w:rPr>
          <w:color w:val="000000"/>
        </w:rPr>
        <w:t xml:space="preserve">deve-se comprovar a </w:t>
      </w:r>
      <w:r w:rsidRPr="00D103F1">
        <w:rPr>
          <w:bCs/>
        </w:rPr>
        <w:t>execução</w:t>
      </w:r>
      <w:r w:rsidRPr="00D103F1">
        <w:rPr>
          <w:color w:val="000000"/>
        </w:rPr>
        <w:t xml:space="preserve"> do orçamento, no caso de recursos a serem aplicados em custeio ou investimento.</w:t>
      </w:r>
    </w:p>
    <w:sectPr w:rsidR="00996FED" w:rsidRPr="00D103F1" w:rsidSect="00E76818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531" w:right="851" w:bottom="992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D0BB2" w14:textId="77777777" w:rsidR="00C00D03" w:rsidRDefault="00C00D03">
      <w:r>
        <w:separator/>
      </w:r>
    </w:p>
  </w:endnote>
  <w:endnote w:type="continuationSeparator" w:id="0">
    <w:p w14:paraId="4584ED89" w14:textId="77777777" w:rsidR="00C00D03" w:rsidRDefault="00C0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E7500" w14:textId="77777777" w:rsidR="00740347" w:rsidRPr="00A600DE" w:rsidRDefault="00740347">
    <w:pPr>
      <w:pStyle w:val="TextosemFormatao"/>
      <w:rPr>
        <w:rFonts w:ascii="Times New Roman" w:hAnsi="Times New Roman"/>
      </w:rPr>
    </w:pPr>
    <w:r w:rsidRPr="00A600DE">
      <w:rPr>
        <w:rFonts w:ascii="Times New Roman" w:hAnsi="Times New Roman"/>
      </w:rPr>
      <w:t>_____________________________________________________________________________________________</w:t>
    </w:r>
  </w:p>
  <w:p w14:paraId="061B64D9" w14:textId="77777777" w:rsidR="00740347" w:rsidRDefault="00A600DE">
    <w:pPr>
      <w:pStyle w:val="Rodap"/>
    </w:pPr>
    <w:r w:rsidRPr="00A600DE">
      <w:t>Resolução nº 4.233, de 18 de junho de 2013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24305" w14:textId="77777777" w:rsidR="00E76818" w:rsidRPr="00A600DE" w:rsidRDefault="00E76818" w:rsidP="00E76818">
    <w:pPr>
      <w:pStyle w:val="TextosemFormatao"/>
      <w:rPr>
        <w:rFonts w:ascii="Times New Roman" w:hAnsi="Times New Roman"/>
      </w:rPr>
    </w:pPr>
    <w:r w:rsidRPr="00A600DE">
      <w:rPr>
        <w:rFonts w:ascii="Times New Roman" w:hAnsi="Times New Roman"/>
      </w:rPr>
      <w:t>_____________________________________________________________________________________________</w:t>
    </w:r>
  </w:p>
  <w:p w14:paraId="765201D0" w14:textId="739C78EF" w:rsidR="00E76818" w:rsidRDefault="00D103F1">
    <w:pPr>
      <w:pStyle w:val="Rodap"/>
    </w:pPr>
    <w:r w:rsidRPr="00D103F1">
      <w:t>Resolução CMN nº 4.900, de 25 de março de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49ECF" w14:textId="77777777" w:rsidR="00C00D03" w:rsidRDefault="00C00D03">
      <w:r>
        <w:separator/>
      </w:r>
    </w:p>
  </w:footnote>
  <w:footnote w:type="continuationSeparator" w:id="0">
    <w:p w14:paraId="71B3C6C6" w14:textId="77777777" w:rsidR="00C00D03" w:rsidRDefault="00C00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14847" w14:textId="77777777" w:rsidR="00740347" w:rsidRDefault="0074034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CEEBFA2" w14:textId="77777777" w:rsidR="00740347" w:rsidRDefault="0074034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27AE0" w14:textId="77777777" w:rsidR="00740347" w:rsidRDefault="00740347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TÍTULO</w:t>
    </w:r>
    <w:r>
      <w:tab/>
      <w:t>: CRÉDITO RURAL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E76818">
      <w:rPr>
        <w:noProof/>
      </w:rPr>
      <w:t>1</w:t>
    </w:r>
    <w:r>
      <w:fldChar w:fldCharType="end"/>
    </w:r>
  </w:p>
  <w:p w14:paraId="19C091E8" w14:textId="77777777" w:rsidR="00740347" w:rsidRDefault="00740347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CAPÍTULO</w:t>
    </w:r>
    <w:r>
      <w:tab/>
      <w:t xml:space="preserve">: </w:t>
    </w:r>
    <w:r w:rsidR="00A600DE">
      <w:t xml:space="preserve">Créditos a </w:t>
    </w:r>
    <w:r w:rsidR="005F0554" w:rsidRPr="005F0554">
      <w:t>Cooperativas de Produção Agropecuária</w:t>
    </w:r>
    <w:r w:rsidR="005F0554">
      <w:t xml:space="preserve"> </w:t>
    </w:r>
    <w:r>
      <w:t xml:space="preserve">- </w:t>
    </w:r>
    <w:r w:rsidR="005F0554">
      <w:t>5</w:t>
    </w:r>
  </w:p>
  <w:p w14:paraId="0BAA4368" w14:textId="77777777" w:rsidR="00740347" w:rsidRDefault="00740347" w:rsidP="00913B58">
    <w:pPr>
      <w:pStyle w:val="Cabealho"/>
      <w:tabs>
        <w:tab w:val="clear" w:pos="4419"/>
        <w:tab w:val="clear" w:pos="8838"/>
        <w:tab w:val="left" w:pos="993"/>
        <w:tab w:val="right" w:pos="9639"/>
        <w:tab w:val="right" w:pos="9923"/>
      </w:tabs>
    </w:pPr>
    <w:r>
      <w:t>SEÇÃO</w:t>
    </w:r>
    <w:r>
      <w:tab/>
      <w:t xml:space="preserve">: </w:t>
    </w:r>
    <w:r w:rsidR="007F7490" w:rsidRPr="007F7490">
      <w:t>Taxa de Retenção</w:t>
    </w:r>
    <w:r w:rsidR="005F0554">
      <w:t xml:space="preserve"> </w:t>
    </w:r>
    <w:r>
      <w:t xml:space="preserve">- </w:t>
    </w:r>
    <w:r w:rsidR="007F7490">
      <w:t>4</w:t>
    </w:r>
    <w:r>
      <w:tab/>
    </w:r>
    <w:r>
      <w:tab/>
      <w:t>(*)</w:t>
    </w:r>
  </w:p>
  <w:p w14:paraId="1DE8A342" w14:textId="77777777" w:rsidR="00740347" w:rsidRDefault="00740347">
    <w:pPr>
      <w:pStyle w:val="Cabealho"/>
      <w:tabs>
        <w:tab w:val="clear" w:pos="4419"/>
        <w:tab w:val="clear" w:pos="8838"/>
        <w:tab w:val="left" w:pos="1134"/>
        <w:tab w:val="right" w:pos="9639"/>
      </w:tabs>
    </w:pPr>
    <w:r>
      <w:t>_____________________________________________________________________________________________</w:t>
    </w:r>
  </w:p>
  <w:p w14:paraId="00CBD07B" w14:textId="77777777" w:rsidR="00740347" w:rsidRDefault="00740347">
    <w:pPr>
      <w:pStyle w:val="Cabealho"/>
      <w:tabs>
        <w:tab w:val="clear" w:pos="4419"/>
        <w:tab w:val="clear" w:pos="8838"/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70EBC"/>
    <w:multiLevelType w:val="singleLevel"/>
    <w:tmpl w:val="1006378A"/>
    <w:lvl w:ilvl="0">
      <w:start w:val="1"/>
      <w:numFmt w:val="none"/>
      <w:pStyle w:val="Epgrafe"/>
      <w:lvlText w:val="RESOLUÇÃO 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19371378"/>
    <w:multiLevelType w:val="multilevel"/>
    <w:tmpl w:val="5CE07D6C"/>
    <w:lvl w:ilvl="0">
      <w:start w:val="1"/>
      <w:numFmt w:val="decimal"/>
      <w:pStyle w:val="Artigo"/>
      <w:suff w:val="nothing"/>
      <w:lvlText w:val="Art. %1"/>
      <w:lvlJc w:val="left"/>
      <w:pPr>
        <w:ind w:left="0" w:firstLine="1701"/>
      </w:pPr>
      <w:rPr>
        <w:rFonts w:ascii="Times New Roman" w:hAnsi="Times New Roman" w:hint="default"/>
        <w:sz w:val="24"/>
      </w:rPr>
    </w:lvl>
    <w:lvl w:ilvl="1">
      <w:start w:val="1"/>
      <w:numFmt w:val="upperRoman"/>
      <w:suff w:val="nothing"/>
      <w:lvlText w:val="%2 - "/>
      <w:lvlJc w:val="left"/>
      <w:pPr>
        <w:ind w:left="0" w:firstLine="1701"/>
      </w:pPr>
      <w:rPr>
        <w:rFonts w:ascii="Times New Roman" w:hAnsi="Times New Roman" w:hint="default"/>
        <w:sz w:val="24"/>
      </w:rPr>
    </w:lvl>
    <w:lvl w:ilvl="2">
      <w:start w:val="1"/>
      <w:numFmt w:val="lowerLetter"/>
      <w:suff w:val="nothing"/>
      <w:lvlText w:val="%3)"/>
      <w:lvlJc w:val="left"/>
      <w:pPr>
        <w:ind w:left="0" w:firstLine="1701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nothing"/>
      <w:lvlText w:val="%4."/>
      <w:lvlJc w:val="left"/>
      <w:pPr>
        <w:ind w:left="0" w:firstLine="1701"/>
      </w:pPr>
      <w:rPr>
        <w:rFonts w:ascii="Times New Roman" w:hAnsi="Times New Roman" w:hint="default"/>
        <w:sz w:val="24"/>
      </w:rPr>
    </w:lvl>
    <w:lvl w:ilvl="4">
      <w:start w:val="1"/>
      <w:numFmt w:val="none"/>
      <w:suff w:val="nothing"/>
      <w:lvlText w:val="- "/>
      <w:lvlJc w:val="left"/>
      <w:pPr>
        <w:ind w:left="0" w:firstLine="1701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BE25783"/>
    <w:multiLevelType w:val="hybridMultilevel"/>
    <w:tmpl w:val="9DBE2C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8414B"/>
    <w:multiLevelType w:val="hybridMultilevel"/>
    <w:tmpl w:val="AE52F2F2"/>
    <w:lvl w:ilvl="0" w:tplc="F58218C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847A5A"/>
    <w:multiLevelType w:val="singleLevel"/>
    <w:tmpl w:val="6450E26C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7DCF3203"/>
    <w:multiLevelType w:val="hybridMultilevel"/>
    <w:tmpl w:val="1E7A8644"/>
    <w:lvl w:ilvl="0" w:tplc="E86C30F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D1477"/>
    <w:multiLevelType w:val="hybridMultilevel"/>
    <w:tmpl w:val="AD2AB488"/>
    <w:lvl w:ilvl="0" w:tplc="2C3AFB0A">
      <w:start w:val="2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1" w:tplc="8C1C9294">
      <w:start w:val="1"/>
      <w:numFmt w:val="upperRoman"/>
      <w:pStyle w:val="Seo"/>
      <w:lvlText w:val="%2 -"/>
      <w:lvlJc w:val="left"/>
      <w:pPr>
        <w:tabs>
          <w:tab w:val="num" w:pos="570"/>
        </w:tabs>
        <w:ind w:left="1418" w:hanging="338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mirrorMargins/>
  <w:attachedTemplate r:id="rId1"/>
  <w:doNotTrackMoves/>
  <w:defaultTabStop w:val="720"/>
  <w:consecutiveHyphenLimit w:val="9"/>
  <w:hyphenationZone w:val="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76F3D"/>
    <w:rsid w:val="00000735"/>
    <w:rsid w:val="00003273"/>
    <w:rsid w:val="00004F05"/>
    <w:rsid w:val="000107CF"/>
    <w:rsid w:val="00012EC8"/>
    <w:rsid w:val="0002067F"/>
    <w:rsid w:val="00037F6C"/>
    <w:rsid w:val="00046349"/>
    <w:rsid w:val="00052579"/>
    <w:rsid w:val="00052FB9"/>
    <w:rsid w:val="00062852"/>
    <w:rsid w:val="00075CBB"/>
    <w:rsid w:val="00076F3D"/>
    <w:rsid w:val="00080E69"/>
    <w:rsid w:val="000836AA"/>
    <w:rsid w:val="000841ED"/>
    <w:rsid w:val="00086865"/>
    <w:rsid w:val="000922F3"/>
    <w:rsid w:val="00096B19"/>
    <w:rsid w:val="000A0056"/>
    <w:rsid w:val="000A170D"/>
    <w:rsid w:val="000A59F1"/>
    <w:rsid w:val="000C51D5"/>
    <w:rsid w:val="000C5E04"/>
    <w:rsid w:val="000D6059"/>
    <w:rsid w:val="000D60F5"/>
    <w:rsid w:val="000E2B8F"/>
    <w:rsid w:val="000E338A"/>
    <w:rsid w:val="000E341C"/>
    <w:rsid w:val="000E403F"/>
    <w:rsid w:val="000E4E18"/>
    <w:rsid w:val="000E5528"/>
    <w:rsid w:val="000E5EF6"/>
    <w:rsid w:val="000F1073"/>
    <w:rsid w:val="000F14B9"/>
    <w:rsid w:val="000F63AD"/>
    <w:rsid w:val="001034CB"/>
    <w:rsid w:val="00112EF9"/>
    <w:rsid w:val="00113748"/>
    <w:rsid w:val="001175F8"/>
    <w:rsid w:val="001274DD"/>
    <w:rsid w:val="00135CC0"/>
    <w:rsid w:val="0014200F"/>
    <w:rsid w:val="001433E0"/>
    <w:rsid w:val="001512D5"/>
    <w:rsid w:val="00151E5D"/>
    <w:rsid w:val="00154EC7"/>
    <w:rsid w:val="001643AE"/>
    <w:rsid w:val="00175D57"/>
    <w:rsid w:val="00186262"/>
    <w:rsid w:val="0019186E"/>
    <w:rsid w:val="00194B9C"/>
    <w:rsid w:val="00195EB0"/>
    <w:rsid w:val="00197CF2"/>
    <w:rsid w:val="001C745C"/>
    <w:rsid w:val="001D5AFF"/>
    <w:rsid w:val="001E4DF8"/>
    <w:rsid w:val="001F72C1"/>
    <w:rsid w:val="00201983"/>
    <w:rsid w:val="00207853"/>
    <w:rsid w:val="002224DA"/>
    <w:rsid w:val="002236D2"/>
    <w:rsid w:val="00225917"/>
    <w:rsid w:val="00225FA6"/>
    <w:rsid w:val="0023302A"/>
    <w:rsid w:val="00242767"/>
    <w:rsid w:val="0024736C"/>
    <w:rsid w:val="00247DBC"/>
    <w:rsid w:val="0026636D"/>
    <w:rsid w:val="00293910"/>
    <w:rsid w:val="00296714"/>
    <w:rsid w:val="002977BA"/>
    <w:rsid w:val="002A374C"/>
    <w:rsid w:val="002B040C"/>
    <w:rsid w:val="002B5B1D"/>
    <w:rsid w:val="002C2EDF"/>
    <w:rsid w:val="002E65B8"/>
    <w:rsid w:val="003149DF"/>
    <w:rsid w:val="00320723"/>
    <w:rsid w:val="003220B7"/>
    <w:rsid w:val="003360AF"/>
    <w:rsid w:val="00340F56"/>
    <w:rsid w:val="00341AEE"/>
    <w:rsid w:val="00350426"/>
    <w:rsid w:val="00350C5E"/>
    <w:rsid w:val="00371CAC"/>
    <w:rsid w:val="00374A67"/>
    <w:rsid w:val="00375223"/>
    <w:rsid w:val="00384C7D"/>
    <w:rsid w:val="00392663"/>
    <w:rsid w:val="00393DBF"/>
    <w:rsid w:val="003B37B4"/>
    <w:rsid w:val="003B37C7"/>
    <w:rsid w:val="003B39FC"/>
    <w:rsid w:val="003B3B9B"/>
    <w:rsid w:val="003C3BD7"/>
    <w:rsid w:val="003C4DBC"/>
    <w:rsid w:val="003C6220"/>
    <w:rsid w:val="003D51DC"/>
    <w:rsid w:val="003D55F2"/>
    <w:rsid w:val="003E0881"/>
    <w:rsid w:val="003E548D"/>
    <w:rsid w:val="003E5620"/>
    <w:rsid w:val="003E6717"/>
    <w:rsid w:val="003F1072"/>
    <w:rsid w:val="00401975"/>
    <w:rsid w:val="004139F3"/>
    <w:rsid w:val="004165DE"/>
    <w:rsid w:val="0042234D"/>
    <w:rsid w:val="00427FD3"/>
    <w:rsid w:val="00443D0D"/>
    <w:rsid w:val="00445424"/>
    <w:rsid w:val="00466975"/>
    <w:rsid w:val="00470DCC"/>
    <w:rsid w:val="0047622C"/>
    <w:rsid w:val="00481517"/>
    <w:rsid w:val="00484E98"/>
    <w:rsid w:val="00486468"/>
    <w:rsid w:val="004918E7"/>
    <w:rsid w:val="00491BB1"/>
    <w:rsid w:val="004B0545"/>
    <w:rsid w:val="004B0BFB"/>
    <w:rsid w:val="004C03E3"/>
    <w:rsid w:val="004C5233"/>
    <w:rsid w:val="004D69E4"/>
    <w:rsid w:val="004E000F"/>
    <w:rsid w:val="004E1D09"/>
    <w:rsid w:val="004E3711"/>
    <w:rsid w:val="004E663C"/>
    <w:rsid w:val="004F2582"/>
    <w:rsid w:val="004F370E"/>
    <w:rsid w:val="0050005B"/>
    <w:rsid w:val="00501647"/>
    <w:rsid w:val="00514D9B"/>
    <w:rsid w:val="00524163"/>
    <w:rsid w:val="0052766C"/>
    <w:rsid w:val="00531E6B"/>
    <w:rsid w:val="005415B8"/>
    <w:rsid w:val="00541AFE"/>
    <w:rsid w:val="00562EBF"/>
    <w:rsid w:val="00571065"/>
    <w:rsid w:val="0057387D"/>
    <w:rsid w:val="00580173"/>
    <w:rsid w:val="0058477B"/>
    <w:rsid w:val="00586F82"/>
    <w:rsid w:val="00587589"/>
    <w:rsid w:val="00590562"/>
    <w:rsid w:val="0059326F"/>
    <w:rsid w:val="0059582C"/>
    <w:rsid w:val="00595DAB"/>
    <w:rsid w:val="005B2CE5"/>
    <w:rsid w:val="005C48BF"/>
    <w:rsid w:val="005C5664"/>
    <w:rsid w:val="005C5AD7"/>
    <w:rsid w:val="005C6276"/>
    <w:rsid w:val="005D73D1"/>
    <w:rsid w:val="005F0554"/>
    <w:rsid w:val="006071B6"/>
    <w:rsid w:val="00617C3D"/>
    <w:rsid w:val="00644E5D"/>
    <w:rsid w:val="00646DF7"/>
    <w:rsid w:val="006551CF"/>
    <w:rsid w:val="0065729D"/>
    <w:rsid w:val="0066108F"/>
    <w:rsid w:val="00680615"/>
    <w:rsid w:val="006975F8"/>
    <w:rsid w:val="006A5749"/>
    <w:rsid w:val="006A782B"/>
    <w:rsid w:val="006B2FEA"/>
    <w:rsid w:val="006D4DF9"/>
    <w:rsid w:val="006E2048"/>
    <w:rsid w:val="006E4E77"/>
    <w:rsid w:val="006F72D6"/>
    <w:rsid w:val="007150E2"/>
    <w:rsid w:val="0072686C"/>
    <w:rsid w:val="00726C94"/>
    <w:rsid w:val="00740347"/>
    <w:rsid w:val="00741148"/>
    <w:rsid w:val="00744C4A"/>
    <w:rsid w:val="007464B4"/>
    <w:rsid w:val="00752072"/>
    <w:rsid w:val="00760B1B"/>
    <w:rsid w:val="00760DAE"/>
    <w:rsid w:val="00764D1B"/>
    <w:rsid w:val="00774E06"/>
    <w:rsid w:val="00777302"/>
    <w:rsid w:val="00784587"/>
    <w:rsid w:val="00785FF1"/>
    <w:rsid w:val="007864A0"/>
    <w:rsid w:val="00791241"/>
    <w:rsid w:val="00795BAA"/>
    <w:rsid w:val="007A1E18"/>
    <w:rsid w:val="007A31BD"/>
    <w:rsid w:val="007A3C42"/>
    <w:rsid w:val="007B0337"/>
    <w:rsid w:val="007B7385"/>
    <w:rsid w:val="007E2722"/>
    <w:rsid w:val="007E5DC4"/>
    <w:rsid w:val="007F4E95"/>
    <w:rsid w:val="007F69EC"/>
    <w:rsid w:val="007F7490"/>
    <w:rsid w:val="00803591"/>
    <w:rsid w:val="00810142"/>
    <w:rsid w:val="008156BE"/>
    <w:rsid w:val="00817C66"/>
    <w:rsid w:val="00820FB1"/>
    <w:rsid w:val="008213DD"/>
    <w:rsid w:val="008241E2"/>
    <w:rsid w:val="008249D5"/>
    <w:rsid w:val="0082543D"/>
    <w:rsid w:val="00830417"/>
    <w:rsid w:val="00830DD7"/>
    <w:rsid w:val="00846107"/>
    <w:rsid w:val="00853E36"/>
    <w:rsid w:val="008579A6"/>
    <w:rsid w:val="0086652B"/>
    <w:rsid w:val="008668FD"/>
    <w:rsid w:val="00874904"/>
    <w:rsid w:val="00876BB0"/>
    <w:rsid w:val="00882329"/>
    <w:rsid w:val="008828C6"/>
    <w:rsid w:val="00886A1C"/>
    <w:rsid w:val="00887805"/>
    <w:rsid w:val="0089720B"/>
    <w:rsid w:val="008B09F8"/>
    <w:rsid w:val="008B7B8D"/>
    <w:rsid w:val="008C0D51"/>
    <w:rsid w:val="008C541F"/>
    <w:rsid w:val="008D1F3B"/>
    <w:rsid w:val="008D3B38"/>
    <w:rsid w:val="008E43C0"/>
    <w:rsid w:val="009053A3"/>
    <w:rsid w:val="00910B5F"/>
    <w:rsid w:val="00912988"/>
    <w:rsid w:val="00913B58"/>
    <w:rsid w:val="009229D2"/>
    <w:rsid w:val="009237C4"/>
    <w:rsid w:val="00930A8F"/>
    <w:rsid w:val="009379EC"/>
    <w:rsid w:val="00941CF0"/>
    <w:rsid w:val="00942343"/>
    <w:rsid w:val="009534CE"/>
    <w:rsid w:val="00954A44"/>
    <w:rsid w:val="009573D8"/>
    <w:rsid w:val="00965493"/>
    <w:rsid w:val="00971A76"/>
    <w:rsid w:val="00974C31"/>
    <w:rsid w:val="00980A70"/>
    <w:rsid w:val="00983927"/>
    <w:rsid w:val="00993007"/>
    <w:rsid w:val="00996472"/>
    <w:rsid w:val="00996FED"/>
    <w:rsid w:val="009A257E"/>
    <w:rsid w:val="009A2A31"/>
    <w:rsid w:val="009A7BC0"/>
    <w:rsid w:val="009B22D0"/>
    <w:rsid w:val="009B3DFA"/>
    <w:rsid w:val="009C784A"/>
    <w:rsid w:val="009E47DA"/>
    <w:rsid w:val="009F1D4D"/>
    <w:rsid w:val="00A020D7"/>
    <w:rsid w:val="00A03980"/>
    <w:rsid w:val="00A15070"/>
    <w:rsid w:val="00A201B4"/>
    <w:rsid w:val="00A24D2C"/>
    <w:rsid w:val="00A27BE3"/>
    <w:rsid w:val="00A473EB"/>
    <w:rsid w:val="00A600DE"/>
    <w:rsid w:val="00A60272"/>
    <w:rsid w:val="00A612D2"/>
    <w:rsid w:val="00A64B3E"/>
    <w:rsid w:val="00A6509F"/>
    <w:rsid w:val="00A73267"/>
    <w:rsid w:val="00A76E24"/>
    <w:rsid w:val="00A84A4A"/>
    <w:rsid w:val="00A87B3A"/>
    <w:rsid w:val="00A9452D"/>
    <w:rsid w:val="00AA4844"/>
    <w:rsid w:val="00AB006B"/>
    <w:rsid w:val="00AB4EAA"/>
    <w:rsid w:val="00AB4FB3"/>
    <w:rsid w:val="00AD0E9B"/>
    <w:rsid w:val="00AD6FC5"/>
    <w:rsid w:val="00AD774A"/>
    <w:rsid w:val="00B024B6"/>
    <w:rsid w:val="00B121C0"/>
    <w:rsid w:val="00B157E7"/>
    <w:rsid w:val="00B2157E"/>
    <w:rsid w:val="00B21ADA"/>
    <w:rsid w:val="00B45B26"/>
    <w:rsid w:val="00B5487E"/>
    <w:rsid w:val="00B64D7A"/>
    <w:rsid w:val="00B65062"/>
    <w:rsid w:val="00B67C07"/>
    <w:rsid w:val="00B71EB1"/>
    <w:rsid w:val="00B7614E"/>
    <w:rsid w:val="00B840EE"/>
    <w:rsid w:val="00B84FBC"/>
    <w:rsid w:val="00B86C14"/>
    <w:rsid w:val="00BB020D"/>
    <w:rsid w:val="00BB2B6E"/>
    <w:rsid w:val="00BC4EC9"/>
    <w:rsid w:val="00BD723B"/>
    <w:rsid w:val="00BE142E"/>
    <w:rsid w:val="00BF2B33"/>
    <w:rsid w:val="00C00D03"/>
    <w:rsid w:val="00C061ED"/>
    <w:rsid w:val="00C10718"/>
    <w:rsid w:val="00C20AB5"/>
    <w:rsid w:val="00C31511"/>
    <w:rsid w:val="00C3507A"/>
    <w:rsid w:val="00C44346"/>
    <w:rsid w:val="00C52375"/>
    <w:rsid w:val="00C6639D"/>
    <w:rsid w:val="00C81F3C"/>
    <w:rsid w:val="00C84A19"/>
    <w:rsid w:val="00C94C30"/>
    <w:rsid w:val="00C97F23"/>
    <w:rsid w:val="00CA00CB"/>
    <w:rsid w:val="00CC243C"/>
    <w:rsid w:val="00CC7F21"/>
    <w:rsid w:val="00CF2163"/>
    <w:rsid w:val="00D00293"/>
    <w:rsid w:val="00D0145C"/>
    <w:rsid w:val="00D019BC"/>
    <w:rsid w:val="00D103F1"/>
    <w:rsid w:val="00D13A3E"/>
    <w:rsid w:val="00D25A9F"/>
    <w:rsid w:val="00D3293D"/>
    <w:rsid w:val="00D35AB8"/>
    <w:rsid w:val="00D4002A"/>
    <w:rsid w:val="00D415B7"/>
    <w:rsid w:val="00D4386B"/>
    <w:rsid w:val="00D62A1A"/>
    <w:rsid w:val="00D65B1E"/>
    <w:rsid w:val="00D6768B"/>
    <w:rsid w:val="00D67FCD"/>
    <w:rsid w:val="00D7296C"/>
    <w:rsid w:val="00D73C0D"/>
    <w:rsid w:val="00D77922"/>
    <w:rsid w:val="00DB2618"/>
    <w:rsid w:val="00DB693F"/>
    <w:rsid w:val="00DC10D5"/>
    <w:rsid w:val="00DC2D07"/>
    <w:rsid w:val="00DC63CF"/>
    <w:rsid w:val="00DD01E1"/>
    <w:rsid w:val="00DD0787"/>
    <w:rsid w:val="00DD2C84"/>
    <w:rsid w:val="00DE12D1"/>
    <w:rsid w:val="00DE5E47"/>
    <w:rsid w:val="00DE7DEB"/>
    <w:rsid w:val="00DF0085"/>
    <w:rsid w:val="00DF0C93"/>
    <w:rsid w:val="00DF5610"/>
    <w:rsid w:val="00E12DFF"/>
    <w:rsid w:val="00E167F5"/>
    <w:rsid w:val="00E16D25"/>
    <w:rsid w:val="00E20037"/>
    <w:rsid w:val="00E30CDC"/>
    <w:rsid w:val="00E40389"/>
    <w:rsid w:val="00E43E0C"/>
    <w:rsid w:val="00E521A9"/>
    <w:rsid w:val="00E545E2"/>
    <w:rsid w:val="00E60FC4"/>
    <w:rsid w:val="00E71AED"/>
    <w:rsid w:val="00E73196"/>
    <w:rsid w:val="00E76818"/>
    <w:rsid w:val="00E81187"/>
    <w:rsid w:val="00E90141"/>
    <w:rsid w:val="00EA3636"/>
    <w:rsid w:val="00EB0B9C"/>
    <w:rsid w:val="00EC5274"/>
    <w:rsid w:val="00EC5AAF"/>
    <w:rsid w:val="00EC5F08"/>
    <w:rsid w:val="00ED5ECE"/>
    <w:rsid w:val="00EF6A76"/>
    <w:rsid w:val="00F03A9E"/>
    <w:rsid w:val="00F14689"/>
    <w:rsid w:val="00F201B9"/>
    <w:rsid w:val="00F30577"/>
    <w:rsid w:val="00F3097E"/>
    <w:rsid w:val="00F350AC"/>
    <w:rsid w:val="00F410AA"/>
    <w:rsid w:val="00F43F4B"/>
    <w:rsid w:val="00F4682E"/>
    <w:rsid w:val="00F828CE"/>
    <w:rsid w:val="00F86D1F"/>
    <w:rsid w:val="00F87662"/>
    <w:rsid w:val="00F91FF5"/>
    <w:rsid w:val="00F969E1"/>
    <w:rsid w:val="00F97947"/>
    <w:rsid w:val="00FA3F0B"/>
    <w:rsid w:val="00FB5AB8"/>
    <w:rsid w:val="00FC1403"/>
    <w:rsid w:val="00FC5096"/>
    <w:rsid w:val="00FC5621"/>
    <w:rsid w:val="00FD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634713F"/>
  <w15:chartTrackingRefBased/>
  <w15:docId w15:val="{2CA894BD-1F21-4209-ADC9-F3342E2C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eastAsia="MS Mincho"/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tabs>
        <w:tab w:val="left" w:pos="1080"/>
        <w:tab w:val="left" w:pos="8789"/>
      </w:tabs>
      <w:autoSpaceDE w:val="0"/>
      <w:autoSpaceDN w:val="0"/>
      <w:adjustRightInd w:val="0"/>
      <w:ind w:left="284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ind w:left="284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color w:val="00000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Referencia">
    <w:name w:val="Referencia"/>
    <w:basedOn w:val="Textodecomentrio"/>
    <w:pPr>
      <w:spacing w:before="120"/>
      <w:jc w:val="center"/>
    </w:pPr>
  </w:style>
  <w:style w:type="paragraph" w:styleId="Textodecomentrio">
    <w:name w:val="annotation text"/>
    <w:basedOn w:val="Normal"/>
    <w:semiHidden/>
  </w:style>
  <w:style w:type="paragraph" w:styleId="TextosemFormatao">
    <w:name w:val="Plain Text"/>
    <w:basedOn w:val="Normal"/>
    <w:semiHidden/>
    <w:pPr>
      <w:jc w:val="both"/>
    </w:pPr>
    <w:rPr>
      <w:rFonts w:ascii="Courier New" w:hAnsi="Courier New"/>
    </w:rPr>
  </w:style>
  <w:style w:type="paragraph" w:styleId="Textoembloco">
    <w:name w:val="Block Text"/>
    <w:basedOn w:val="Normal"/>
    <w:semiHidden/>
    <w:pPr>
      <w:ind w:left="284" w:right="454" w:hanging="284"/>
      <w:jc w:val="both"/>
    </w:pPr>
  </w:style>
  <w:style w:type="paragraph" w:styleId="Corpodetexto">
    <w:name w:val="Body Text"/>
    <w:basedOn w:val="Normal"/>
    <w:semiHidden/>
    <w:pPr>
      <w:ind w:right="453"/>
      <w:jc w:val="both"/>
    </w:pPr>
  </w:style>
  <w:style w:type="paragraph" w:customStyle="1" w:styleId="ementa">
    <w:name w:val="ementa"/>
    <w:next w:val="Normal"/>
    <w:autoRedefine/>
    <w:pPr>
      <w:ind w:left="5103"/>
      <w:jc w:val="both"/>
    </w:pPr>
    <w:rPr>
      <w:sz w:val="24"/>
    </w:rPr>
  </w:style>
  <w:style w:type="paragraph" w:customStyle="1" w:styleId="ttulo">
    <w:name w:val="título"/>
    <w:next w:val="ementa"/>
    <w:autoRedefine/>
    <w:pPr>
      <w:jc w:val="center"/>
    </w:pPr>
    <w:rPr>
      <w:smallCaps/>
    </w:rPr>
  </w:style>
  <w:style w:type="paragraph" w:styleId="Ttulo0">
    <w:name w:val="Title"/>
    <w:basedOn w:val="Normal"/>
    <w:qFormat/>
    <w:pPr>
      <w:tabs>
        <w:tab w:val="left" w:pos="1418"/>
        <w:tab w:val="left" w:pos="1701"/>
      </w:tabs>
      <w:jc w:val="center"/>
    </w:pPr>
    <w:rPr>
      <w:sz w:val="24"/>
    </w:rPr>
  </w:style>
  <w:style w:type="paragraph" w:styleId="Recuodecorpodetexto">
    <w:name w:val="Body Text Indent"/>
    <w:basedOn w:val="Normal"/>
    <w:semiHidden/>
    <w:pPr>
      <w:tabs>
        <w:tab w:val="left" w:pos="1418"/>
        <w:tab w:val="left" w:pos="1701"/>
      </w:tabs>
      <w:ind w:left="5103"/>
      <w:jc w:val="both"/>
    </w:pPr>
    <w:rPr>
      <w:sz w:val="24"/>
    </w:rPr>
  </w:style>
  <w:style w:type="paragraph" w:customStyle="1" w:styleId="fecho">
    <w:name w:val="fecho"/>
    <w:basedOn w:val="Normal"/>
    <w:next w:val="Normal"/>
    <w:pPr>
      <w:tabs>
        <w:tab w:val="left" w:pos="1418"/>
      </w:tabs>
      <w:ind w:left="5103"/>
      <w:jc w:val="both"/>
    </w:pPr>
    <w:rPr>
      <w:sz w:val="24"/>
    </w:rPr>
  </w:style>
  <w:style w:type="paragraph" w:customStyle="1" w:styleId="Ementa0">
    <w:name w:val="Ementa"/>
    <w:basedOn w:val="Normal"/>
    <w:next w:val="Normal"/>
    <w:pPr>
      <w:spacing w:after="360"/>
      <w:ind w:left="5103"/>
      <w:jc w:val="both"/>
    </w:pPr>
    <w:rPr>
      <w:sz w:val="24"/>
    </w:rPr>
  </w:style>
  <w:style w:type="paragraph" w:customStyle="1" w:styleId="Epgrafe">
    <w:name w:val="Epígrafe"/>
    <w:next w:val="Ementa0"/>
    <w:pPr>
      <w:widowControl w:val="0"/>
      <w:numPr>
        <w:numId w:val="2"/>
      </w:numPr>
      <w:tabs>
        <w:tab w:val="clear" w:pos="1800"/>
      </w:tabs>
      <w:spacing w:after="360"/>
      <w:jc w:val="center"/>
      <w:outlineLvl w:val="0"/>
    </w:pPr>
    <w:rPr>
      <w:noProof/>
      <w:sz w:val="24"/>
    </w:rPr>
  </w:style>
  <w:style w:type="paragraph" w:customStyle="1" w:styleId="Linha">
    <w:name w:val="Linha"/>
    <w:basedOn w:val="Normal"/>
    <w:next w:val="Normal"/>
    <w:pPr>
      <w:tabs>
        <w:tab w:val="right" w:leader="underscore" w:pos="10206"/>
      </w:tabs>
      <w:jc w:val="both"/>
    </w:pPr>
    <w:rPr>
      <w:sz w:val="24"/>
    </w:rPr>
  </w:style>
  <w:style w:type="paragraph" w:customStyle="1" w:styleId="Rodap29">
    <w:name w:val="Rodapé29"/>
    <w:basedOn w:val="Normal"/>
    <w:pPr>
      <w:jc w:val="both"/>
    </w:pPr>
    <w:rPr>
      <w:sz w:val="24"/>
    </w:rPr>
  </w:style>
  <w:style w:type="paragraph" w:styleId="Recuodecorpodetexto2">
    <w:name w:val="Body Text Indent 2"/>
    <w:basedOn w:val="Normal"/>
    <w:semiHidden/>
    <w:pPr>
      <w:tabs>
        <w:tab w:val="left" w:pos="1418"/>
      </w:tabs>
      <w:ind w:firstLine="1416"/>
      <w:jc w:val="both"/>
    </w:pPr>
    <w:rPr>
      <w:sz w:val="24"/>
      <w:lang w:val="es-ES_tradnl"/>
    </w:rPr>
  </w:style>
  <w:style w:type="paragraph" w:styleId="Corpodetexto2">
    <w:name w:val="Body Text 2"/>
    <w:basedOn w:val="Normal"/>
    <w:semiHidden/>
    <w:pPr>
      <w:ind w:right="453"/>
      <w:jc w:val="both"/>
    </w:pPr>
    <w:rPr>
      <w:rFonts w:eastAsia="MS Mincho"/>
      <w:sz w:val="24"/>
    </w:rPr>
  </w:style>
  <w:style w:type="paragraph" w:styleId="Recuodecorpodetexto3">
    <w:name w:val="Body Text Indent 3"/>
    <w:basedOn w:val="Normal"/>
    <w:link w:val="Recuodecorpodetexto3Char"/>
    <w:semiHidden/>
    <w:pPr>
      <w:tabs>
        <w:tab w:val="right" w:pos="10064"/>
      </w:tabs>
      <w:ind w:left="284" w:hanging="284"/>
      <w:jc w:val="both"/>
    </w:pPr>
  </w:style>
  <w:style w:type="paragraph" w:customStyle="1" w:styleId="parag">
    <w:name w:val="parag"/>
    <w:pPr>
      <w:tabs>
        <w:tab w:val="left" w:pos="1418"/>
      </w:tabs>
      <w:ind w:firstLine="1418"/>
      <w:jc w:val="both"/>
    </w:pPr>
    <w:rPr>
      <w:sz w:val="24"/>
    </w:rPr>
  </w:style>
  <w:style w:type="paragraph" w:customStyle="1" w:styleId="expandido">
    <w:name w:val="expandido"/>
    <w:next w:val="Normal"/>
    <w:pPr>
      <w:tabs>
        <w:tab w:val="left" w:pos="1418"/>
      </w:tabs>
    </w:pPr>
    <w:rPr>
      <w:sz w:val="24"/>
    </w:rPr>
  </w:style>
  <w:style w:type="paragraph" w:customStyle="1" w:styleId="citao">
    <w:name w:val="citação"/>
    <w:pPr>
      <w:tabs>
        <w:tab w:val="right" w:leader="dot" w:pos="10206"/>
      </w:tabs>
      <w:ind w:left="709" w:firstLine="709"/>
      <w:jc w:val="both"/>
    </w:pPr>
    <w:rPr>
      <w:sz w:val="24"/>
    </w:rPr>
  </w:style>
  <w:style w:type="paragraph" w:customStyle="1" w:styleId="Artigo">
    <w:name w:val="Artigo"/>
    <w:basedOn w:val="parag"/>
    <w:autoRedefine/>
    <w:pPr>
      <w:numPr>
        <w:numId w:val="3"/>
      </w:numPr>
      <w:suppressLineNumbers/>
      <w:tabs>
        <w:tab w:val="clear" w:pos="1418"/>
        <w:tab w:val="left" w:pos="1701"/>
      </w:tabs>
      <w:spacing w:after="240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1">
    <w:name w:val="texto1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pPr>
      <w:tabs>
        <w:tab w:val="left" w:pos="1260"/>
      </w:tabs>
    </w:pPr>
    <w:rPr>
      <w:color w:val="000000"/>
    </w:rPr>
  </w:style>
  <w:style w:type="paragraph" w:customStyle="1" w:styleId="vocativo">
    <w:name w:val="vocativo"/>
    <w:pPr>
      <w:widowControl w:val="0"/>
      <w:suppressAutoHyphens/>
      <w:spacing w:after="240" w:line="360" w:lineRule="auto"/>
      <w:jc w:val="both"/>
    </w:pPr>
    <w:rPr>
      <w:rFonts w:ascii="Arial" w:hAnsi="Arial"/>
      <w:sz w:val="24"/>
      <w:lang w:eastAsia="ar-SA"/>
    </w:rPr>
  </w:style>
  <w:style w:type="paragraph" w:customStyle="1" w:styleId="Seo">
    <w:name w:val="Seção"/>
    <w:basedOn w:val="Normal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05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90562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87589"/>
  </w:style>
  <w:style w:type="character" w:customStyle="1" w:styleId="Corpodetexto3Char">
    <w:name w:val="Corpo de texto 3 Char"/>
    <w:link w:val="Corpodetexto3"/>
    <w:semiHidden/>
    <w:rsid w:val="002236D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%20MC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D45D4FF-972F-46C0-9C80-72BB8B4C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MCR.dot</Template>
  <TotalTime>6</TotalTime>
  <Pages>1</Pages>
  <Words>555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Banco Central do Brasil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subject/>
  <dc:creator>Banco Central do Brasil</dc:creator>
  <cp:keywords/>
  <cp:lastModifiedBy>Claudio Baruzzi</cp:lastModifiedBy>
  <cp:revision>6</cp:revision>
  <cp:lastPrinted>2011-07-15T13:56:00Z</cp:lastPrinted>
  <dcterms:created xsi:type="dcterms:W3CDTF">2014-07-23T14:30:00Z</dcterms:created>
  <dcterms:modified xsi:type="dcterms:W3CDTF">2021-05-01T22:01:00Z</dcterms:modified>
</cp:coreProperties>
</file>