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C3685" w14:textId="77777777" w:rsidR="003E3B65" w:rsidRPr="005D5CF7" w:rsidRDefault="003E3B65" w:rsidP="003E3B65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5D5CF7">
        <w:t>TÍTULO</w:t>
      </w:r>
      <w:r w:rsidRPr="005D5CF7">
        <w:tab/>
        <w:t>: CRÉDITO RURAL</w:t>
      </w:r>
      <w:r w:rsidRPr="005D5CF7">
        <w:tab/>
      </w:r>
      <w:r w:rsidRPr="005D5CF7">
        <w:fldChar w:fldCharType="begin"/>
      </w:r>
      <w:r w:rsidRPr="005D5CF7">
        <w:instrText xml:space="preserve"> PAGE  \* MERGEFORMAT </w:instrText>
      </w:r>
      <w:r w:rsidRPr="005D5CF7">
        <w:fldChar w:fldCharType="separate"/>
      </w:r>
      <w:r w:rsidRPr="005D5CF7">
        <w:rPr>
          <w:noProof/>
        </w:rPr>
        <w:t>1</w:t>
      </w:r>
      <w:r w:rsidRPr="005D5CF7">
        <w:fldChar w:fldCharType="end"/>
      </w:r>
    </w:p>
    <w:p w14:paraId="365473DE" w14:textId="77777777" w:rsidR="003E3B65" w:rsidRPr="005D5CF7" w:rsidRDefault="003E3B65" w:rsidP="003E3B65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5D5CF7">
        <w:t>CAPÍTULO</w:t>
      </w:r>
      <w:r w:rsidRPr="005D5CF7">
        <w:tab/>
        <w:t>: Créditos a Cooperativas de Produção Agropecuária - 5</w:t>
      </w:r>
    </w:p>
    <w:p w14:paraId="60EDE6AF" w14:textId="6EFA2529" w:rsidR="003E3B65" w:rsidRPr="005D5CF7" w:rsidRDefault="003E3B65" w:rsidP="003E3B65">
      <w:pPr>
        <w:pStyle w:val="Cabealho"/>
        <w:tabs>
          <w:tab w:val="clear" w:pos="4419"/>
          <w:tab w:val="clear" w:pos="8838"/>
          <w:tab w:val="left" w:pos="993"/>
          <w:tab w:val="right" w:pos="9639"/>
          <w:tab w:val="right" w:pos="9923"/>
        </w:tabs>
      </w:pPr>
      <w:r w:rsidRPr="005D5CF7">
        <w:t>SEÇÃO</w:t>
      </w:r>
      <w:r w:rsidRPr="005D5CF7">
        <w:tab/>
        <w:t xml:space="preserve">: Integralização de Cotas-Partes </w:t>
      </w:r>
      <w:r w:rsidR="00D73F57">
        <w:t>-</w:t>
      </w:r>
      <w:r w:rsidRPr="005D5CF7">
        <w:t xml:space="preserve"> 3</w:t>
      </w:r>
      <w:r w:rsidR="007B06EA">
        <w:tab/>
        <w:t>(*)</w:t>
      </w:r>
    </w:p>
    <w:p w14:paraId="21B7BC04" w14:textId="77777777" w:rsidR="003E3B65" w:rsidRPr="005D5CF7" w:rsidRDefault="003E3B65" w:rsidP="003E3B65">
      <w:pPr>
        <w:pStyle w:val="Cabealho"/>
        <w:tabs>
          <w:tab w:val="clear" w:pos="4419"/>
          <w:tab w:val="clear" w:pos="8838"/>
          <w:tab w:val="left" w:pos="1134"/>
          <w:tab w:val="right" w:pos="9639"/>
        </w:tabs>
      </w:pPr>
      <w:r w:rsidRPr="005D5CF7">
        <w:t>_____________________________________________________________________________________________</w:t>
      </w:r>
    </w:p>
    <w:p w14:paraId="20B4A345" w14:textId="77777777" w:rsidR="003E3B65" w:rsidRPr="005A4531" w:rsidRDefault="003E3B65" w:rsidP="003E3B65">
      <w:pPr>
        <w:tabs>
          <w:tab w:val="right" w:pos="9923"/>
        </w:tabs>
        <w:jc w:val="both"/>
        <w:rPr>
          <w:bCs/>
        </w:rPr>
      </w:pPr>
    </w:p>
    <w:p w14:paraId="7AFA4C22" w14:textId="77777777" w:rsidR="005A4531" w:rsidRPr="005A4531" w:rsidRDefault="00157ABD" w:rsidP="005A4531">
      <w:pPr>
        <w:tabs>
          <w:tab w:val="right" w:pos="9923"/>
        </w:tabs>
        <w:spacing w:after="120"/>
        <w:ind w:left="284" w:hanging="284"/>
        <w:jc w:val="both"/>
        <w:rPr>
          <w:bCs/>
        </w:rPr>
      </w:pPr>
      <w:r w:rsidRPr="005A4531">
        <w:rPr>
          <w:bCs/>
        </w:rPr>
        <w:t xml:space="preserve">1 - </w:t>
      </w:r>
      <w:r w:rsidR="005A4531" w:rsidRPr="005A4531">
        <w:rPr>
          <w:bCs/>
        </w:rPr>
        <w:t>Admite-se a concessão de crédito a cooperativa de produção agropecuária como financiamento da integralização de cotas-partes do capital social.</w:t>
      </w:r>
    </w:p>
    <w:p w14:paraId="6F47B693" w14:textId="77777777" w:rsidR="005A4531" w:rsidRPr="005A4531" w:rsidRDefault="005A4531" w:rsidP="005A4531">
      <w:pPr>
        <w:tabs>
          <w:tab w:val="right" w:pos="9923"/>
        </w:tabs>
        <w:spacing w:after="120"/>
        <w:ind w:left="284" w:hanging="284"/>
        <w:jc w:val="both"/>
        <w:rPr>
          <w:bCs/>
        </w:rPr>
      </w:pPr>
      <w:r w:rsidRPr="005A4531">
        <w:rPr>
          <w:bCs/>
        </w:rPr>
        <w:t>2 - Os recursos provenientes do crédito podem ser aplicados em capital de giro, custeio, investimento ou saneamento financeiro.</w:t>
      </w:r>
    </w:p>
    <w:p w14:paraId="2D3419EB" w14:textId="77777777" w:rsidR="005A4531" w:rsidRPr="005A4531" w:rsidRDefault="005A4531" w:rsidP="005A4531">
      <w:pPr>
        <w:tabs>
          <w:tab w:val="right" w:pos="9923"/>
        </w:tabs>
        <w:ind w:left="284" w:hanging="284"/>
        <w:jc w:val="both"/>
        <w:rPr>
          <w:bCs/>
        </w:rPr>
      </w:pPr>
      <w:r w:rsidRPr="005A4531">
        <w:rPr>
          <w:bCs/>
        </w:rPr>
        <w:t>3 - Para formalização do crédito exige-se:</w:t>
      </w:r>
    </w:p>
    <w:p w14:paraId="42D3113B" w14:textId="77777777" w:rsidR="005A4531" w:rsidRPr="005A4531" w:rsidRDefault="005A4531" w:rsidP="005A4531">
      <w:pPr>
        <w:tabs>
          <w:tab w:val="right" w:pos="9923"/>
        </w:tabs>
        <w:ind w:left="568" w:hanging="284"/>
        <w:jc w:val="both"/>
      </w:pPr>
      <w:r w:rsidRPr="005A4531">
        <w:t xml:space="preserve">a) </w:t>
      </w:r>
      <w:r w:rsidRPr="005A4531">
        <w:rPr>
          <w:bCs/>
        </w:rPr>
        <w:t>documento</w:t>
      </w:r>
      <w:r w:rsidRPr="005A4531">
        <w:t xml:space="preserve"> comprobatório da autorização para aumento de capital;</w:t>
      </w:r>
    </w:p>
    <w:p w14:paraId="3648DB80" w14:textId="77777777" w:rsidR="005A4531" w:rsidRPr="005A4531" w:rsidRDefault="005A4531" w:rsidP="005A4531">
      <w:pPr>
        <w:tabs>
          <w:tab w:val="right" w:pos="9923"/>
        </w:tabs>
        <w:ind w:left="568" w:hanging="284"/>
        <w:jc w:val="both"/>
        <w:rPr>
          <w:bCs/>
        </w:rPr>
      </w:pPr>
      <w:r w:rsidRPr="005A4531">
        <w:rPr>
          <w:bCs/>
        </w:rPr>
        <w:t>b) orçamento de aplicação dos recursos, quando prevista sua utilização em custeio, investimento ou saneamento financeiro;</w:t>
      </w:r>
    </w:p>
    <w:p w14:paraId="241999E3" w14:textId="77777777" w:rsidR="005A4531" w:rsidRPr="005A4531" w:rsidRDefault="005A4531" w:rsidP="005A4531">
      <w:pPr>
        <w:tabs>
          <w:tab w:val="right" w:pos="9923"/>
        </w:tabs>
        <w:spacing w:after="120"/>
        <w:ind w:left="568" w:hanging="284"/>
        <w:jc w:val="both"/>
        <w:rPr>
          <w:bCs/>
        </w:rPr>
      </w:pPr>
      <w:r w:rsidRPr="005A4531">
        <w:rPr>
          <w:bCs/>
        </w:rPr>
        <w:t>c) declaração da cooperativa de que não recebeu financiamento de outra instituição financeira com base nas mesmas receitas, informando a eventual existência de débito anterior referente a aumento de capital.</w:t>
      </w:r>
    </w:p>
    <w:p w14:paraId="053171E2" w14:textId="77777777" w:rsidR="005A4531" w:rsidRPr="005A4531" w:rsidRDefault="005A4531" w:rsidP="005A4531">
      <w:pPr>
        <w:tabs>
          <w:tab w:val="right" w:pos="9923"/>
        </w:tabs>
        <w:spacing w:after="120"/>
        <w:ind w:left="284" w:hanging="284"/>
        <w:jc w:val="both"/>
        <w:rPr>
          <w:bCs/>
        </w:rPr>
      </w:pPr>
      <w:r w:rsidRPr="005A4531">
        <w:rPr>
          <w:bCs/>
        </w:rPr>
        <w:t>4 - O crédito deve processar-se mediante antecipação de recursos à própria cooperativa, por conta dos débitos de associados relativos a subscrições efetuadas.</w:t>
      </w:r>
    </w:p>
    <w:p w14:paraId="54EAAB77" w14:textId="77777777" w:rsidR="005A4531" w:rsidRPr="005A4531" w:rsidRDefault="005A4531" w:rsidP="005A4531">
      <w:pPr>
        <w:tabs>
          <w:tab w:val="right" w:pos="9923"/>
        </w:tabs>
        <w:spacing w:after="120"/>
        <w:ind w:left="284" w:hanging="284"/>
        <w:jc w:val="both"/>
        <w:rPr>
          <w:bCs/>
        </w:rPr>
      </w:pPr>
      <w:r w:rsidRPr="005A4531">
        <w:rPr>
          <w:bCs/>
        </w:rPr>
        <w:t>5 - O crédito pode ser utilizado de uma só vez ou em parcelas, segundo o cronograma de uso dos recursos.</w:t>
      </w:r>
    </w:p>
    <w:p w14:paraId="49C0CF31" w14:textId="77777777" w:rsidR="005A4531" w:rsidRPr="005A4531" w:rsidRDefault="005A4531" w:rsidP="005A4531">
      <w:pPr>
        <w:tabs>
          <w:tab w:val="right" w:pos="9923"/>
        </w:tabs>
        <w:ind w:left="284" w:hanging="284"/>
        <w:jc w:val="both"/>
        <w:rPr>
          <w:bCs/>
        </w:rPr>
      </w:pPr>
      <w:r w:rsidRPr="005A4531">
        <w:rPr>
          <w:bCs/>
        </w:rPr>
        <w:t>6 - O crédito subordina-se às seguintes condições:</w:t>
      </w:r>
    </w:p>
    <w:p w14:paraId="04D97846" w14:textId="77777777" w:rsidR="005A4531" w:rsidRPr="005A4531" w:rsidRDefault="005A4531" w:rsidP="005A4531">
      <w:pPr>
        <w:tabs>
          <w:tab w:val="right" w:pos="9923"/>
        </w:tabs>
        <w:ind w:left="568" w:hanging="284"/>
        <w:jc w:val="both"/>
        <w:rPr>
          <w:bCs/>
        </w:rPr>
      </w:pPr>
      <w:r w:rsidRPr="005A4531">
        <w:rPr>
          <w:bCs/>
        </w:rPr>
        <w:t>a) no ato da subscrição, deve a cooperativa exigir do associado a emissão de notas promissórias, com valor e vencimento igual ao das parcelas estipuladas no esquema de integralização;</w:t>
      </w:r>
    </w:p>
    <w:p w14:paraId="25E7D75E" w14:textId="77777777" w:rsidR="005A4531" w:rsidRPr="005A4531" w:rsidRDefault="005A4531" w:rsidP="005A4531">
      <w:pPr>
        <w:tabs>
          <w:tab w:val="right" w:pos="9923"/>
        </w:tabs>
        <w:ind w:left="568" w:hanging="284"/>
        <w:jc w:val="both"/>
        <w:rPr>
          <w:bCs/>
        </w:rPr>
      </w:pPr>
      <w:r w:rsidRPr="005A4531">
        <w:rPr>
          <w:bCs/>
        </w:rPr>
        <w:t>b) as notas promissórias devem ser dadas ao financiador em caução;</w:t>
      </w:r>
    </w:p>
    <w:p w14:paraId="4A3E04FE" w14:textId="77777777" w:rsidR="005A4531" w:rsidRPr="005A4531" w:rsidRDefault="005A4531" w:rsidP="005A4531">
      <w:pPr>
        <w:tabs>
          <w:tab w:val="right" w:pos="9923"/>
        </w:tabs>
        <w:ind w:left="568" w:hanging="284"/>
        <w:jc w:val="both"/>
        <w:rPr>
          <w:bCs/>
        </w:rPr>
      </w:pPr>
      <w:r w:rsidRPr="005A4531">
        <w:rPr>
          <w:bCs/>
        </w:rPr>
        <w:t>c) para utilização dos recursos, a cooperativa deve apresentar ao financiador, de uma só vez ou à medida das liberações, relação dos subscritores das cotas a integralizar, com desdobramento dos prazos e parcelas;</w:t>
      </w:r>
    </w:p>
    <w:p w14:paraId="485267EE" w14:textId="77777777" w:rsidR="005A4531" w:rsidRPr="005A4531" w:rsidRDefault="005A4531" w:rsidP="005A4531">
      <w:pPr>
        <w:tabs>
          <w:tab w:val="right" w:pos="9923"/>
        </w:tabs>
        <w:ind w:left="568" w:hanging="284"/>
        <w:jc w:val="both"/>
        <w:rPr>
          <w:bCs/>
        </w:rPr>
      </w:pPr>
      <w:r w:rsidRPr="005A4531">
        <w:rPr>
          <w:bCs/>
        </w:rPr>
        <w:t>d) à data da utilização dos recursos, cumpre à cooperativa contabilizar a integralização do capital, baixando a responsabilidade dos cooperados como devedores de cotas-partes e inscrevendo-os como devedores em conta de controle interno;</w:t>
      </w:r>
    </w:p>
    <w:p w14:paraId="1C69DF45" w14:textId="77777777" w:rsidR="005A4531" w:rsidRPr="005A4531" w:rsidRDefault="005A4531" w:rsidP="005A4531">
      <w:pPr>
        <w:tabs>
          <w:tab w:val="right" w:pos="9923"/>
        </w:tabs>
        <w:spacing w:after="120"/>
        <w:ind w:left="568" w:hanging="284"/>
        <w:jc w:val="both"/>
        <w:rPr>
          <w:bCs/>
        </w:rPr>
      </w:pPr>
      <w:r w:rsidRPr="005A4531">
        <w:rPr>
          <w:bCs/>
        </w:rPr>
        <w:t>e) o cronograma de reembolso deve ajustar-se ao vencimento das notas promissórias caucionadas, fixando-se o pagamento das prestações em até 15 (quinze) dias depois.</w:t>
      </w:r>
    </w:p>
    <w:p w14:paraId="24A70A52" w14:textId="77777777" w:rsidR="005A4531" w:rsidRPr="005A4531" w:rsidRDefault="005A4531" w:rsidP="005A4531">
      <w:pPr>
        <w:tabs>
          <w:tab w:val="right" w:pos="9923"/>
        </w:tabs>
        <w:ind w:left="284" w:hanging="284"/>
        <w:jc w:val="both"/>
        <w:rPr>
          <w:bCs/>
        </w:rPr>
      </w:pPr>
      <w:r w:rsidRPr="005A4531">
        <w:rPr>
          <w:bCs/>
        </w:rPr>
        <w:t>7 - Admitem-se para o financiamento os seguintes prazos, que incluem a carência:</w:t>
      </w:r>
    </w:p>
    <w:p w14:paraId="3743C4BB" w14:textId="77777777" w:rsidR="005A4531" w:rsidRPr="005A4531" w:rsidRDefault="005A4531" w:rsidP="005A4531">
      <w:pPr>
        <w:tabs>
          <w:tab w:val="right" w:pos="9923"/>
        </w:tabs>
        <w:ind w:left="568" w:hanging="284"/>
        <w:jc w:val="both"/>
        <w:rPr>
          <w:bCs/>
        </w:rPr>
      </w:pPr>
      <w:r w:rsidRPr="005A4531">
        <w:rPr>
          <w:bCs/>
        </w:rPr>
        <w:t>a) até 6 (seis) anos, para a parcela de recursos a ser aplicada em investimento fixo ou saneamento financeiro;</w:t>
      </w:r>
    </w:p>
    <w:p w14:paraId="3DDF04B6" w14:textId="77777777" w:rsidR="005A4531" w:rsidRPr="005A4531" w:rsidRDefault="005A4531" w:rsidP="005A4531">
      <w:pPr>
        <w:tabs>
          <w:tab w:val="right" w:pos="9923"/>
        </w:tabs>
        <w:spacing w:after="120"/>
        <w:ind w:left="568" w:hanging="284"/>
        <w:jc w:val="both"/>
        <w:rPr>
          <w:bCs/>
        </w:rPr>
      </w:pPr>
      <w:r w:rsidRPr="005A4531">
        <w:rPr>
          <w:bCs/>
        </w:rPr>
        <w:t>b) até 3 (três) anos, nos demais casos.</w:t>
      </w:r>
    </w:p>
    <w:p w14:paraId="2FC49E99" w14:textId="77777777" w:rsidR="005A4531" w:rsidRPr="005A4531" w:rsidRDefault="005A4531" w:rsidP="005A4531">
      <w:pPr>
        <w:tabs>
          <w:tab w:val="right" w:pos="9923"/>
        </w:tabs>
        <w:ind w:left="284" w:hanging="284"/>
        <w:jc w:val="both"/>
        <w:rPr>
          <w:bCs/>
        </w:rPr>
      </w:pPr>
      <w:r w:rsidRPr="005A4531">
        <w:rPr>
          <w:bCs/>
        </w:rPr>
        <w:t xml:space="preserve">8 - </w:t>
      </w:r>
      <w:r w:rsidRPr="005A4531">
        <w:rPr>
          <w:color w:val="000000"/>
        </w:rPr>
        <w:t>Aplicam-se aos créditos de que trata esta Seção as seguintes disposições específicas referentes à fiscalização das operações pelas instituições financeiras:</w:t>
      </w:r>
    </w:p>
    <w:p w14:paraId="25051D50" w14:textId="77777777" w:rsidR="005A4531" w:rsidRPr="005A4531" w:rsidRDefault="005A4531" w:rsidP="005A4531">
      <w:pPr>
        <w:tabs>
          <w:tab w:val="right" w:pos="9923"/>
        </w:tabs>
        <w:ind w:left="568" w:hanging="284"/>
        <w:jc w:val="both"/>
        <w:rPr>
          <w:bCs/>
        </w:rPr>
      </w:pPr>
      <w:r w:rsidRPr="005A4531">
        <w:rPr>
          <w:bCs/>
        </w:rPr>
        <w:t>a) a integralização das cotas-partes e sua adequada contabilização devem ser comprovadas mediante perícia, no prazo de até 15 (quinze) dias de cada liberação;</w:t>
      </w:r>
    </w:p>
    <w:p w14:paraId="3B3164ED" w14:textId="504255B6" w:rsidR="00871DE9" w:rsidRPr="005A4531" w:rsidRDefault="005A4531" w:rsidP="005A4531">
      <w:pPr>
        <w:tabs>
          <w:tab w:val="right" w:pos="9923"/>
        </w:tabs>
        <w:ind w:left="568" w:hanging="284"/>
        <w:jc w:val="both"/>
        <w:rPr>
          <w:bCs/>
        </w:rPr>
      </w:pPr>
      <w:r w:rsidRPr="005A4531">
        <w:rPr>
          <w:bCs/>
        </w:rPr>
        <w:t xml:space="preserve">b) </w:t>
      </w:r>
      <w:r w:rsidRPr="005A4531">
        <w:rPr>
          <w:color w:val="000000"/>
        </w:rPr>
        <w:t xml:space="preserve">deve-se comprovar a execução do </w:t>
      </w:r>
      <w:r w:rsidRPr="005A4531">
        <w:rPr>
          <w:bCs/>
        </w:rPr>
        <w:t>orçamento</w:t>
      </w:r>
      <w:r w:rsidRPr="005A4531">
        <w:rPr>
          <w:color w:val="000000"/>
        </w:rPr>
        <w:t>, no caso de recursos a serem aplicados em custeio, investimento ou saneamento financeiro</w:t>
      </w:r>
      <w:r w:rsidRPr="005A4531">
        <w:rPr>
          <w:bCs/>
        </w:rPr>
        <w:t>.</w:t>
      </w:r>
    </w:p>
    <w:sectPr w:rsidR="00871DE9" w:rsidRPr="005A4531" w:rsidSect="003E3B65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531" w:right="851" w:bottom="992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0EA43" w14:textId="77777777" w:rsidR="00C06961" w:rsidRDefault="00C06961">
      <w:r>
        <w:separator/>
      </w:r>
    </w:p>
  </w:endnote>
  <w:endnote w:type="continuationSeparator" w:id="0">
    <w:p w14:paraId="5B1A637A" w14:textId="77777777" w:rsidR="00C06961" w:rsidRDefault="00C0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AF33F" w14:textId="77777777" w:rsidR="00740347" w:rsidRPr="00157ABD" w:rsidRDefault="00740347">
    <w:pPr>
      <w:pStyle w:val="TextosemFormatao"/>
      <w:rPr>
        <w:rFonts w:ascii="Times New Roman" w:hAnsi="Times New Roman"/>
      </w:rPr>
    </w:pPr>
    <w:r w:rsidRPr="00157ABD">
      <w:rPr>
        <w:rFonts w:ascii="Times New Roman" w:hAnsi="Times New Roman"/>
      </w:rPr>
      <w:t>_____________________________________________________________________________________________</w:t>
    </w:r>
  </w:p>
  <w:p w14:paraId="03A26C44" w14:textId="77777777" w:rsidR="00740347" w:rsidRDefault="00157ABD">
    <w:pPr>
      <w:pStyle w:val="Rodap"/>
    </w:pPr>
    <w:r w:rsidRPr="00157ABD">
      <w:t>Resolução nº 4.233, de 18 de junho de 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E7895" w14:textId="77777777" w:rsidR="003E3B65" w:rsidRPr="00157ABD" w:rsidRDefault="003E3B65" w:rsidP="003E3B65">
    <w:pPr>
      <w:pStyle w:val="TextosemFormatao"/>
      <w:rPr>
        <w:rFonts w:ascii="Times New Roman" w:hAnsi="Times New Roman"/>
      </w:rPr>
    </w:pPr>
    <w:r w:rsidRPr="00157ABD">
      <w:rPr>
        <w:rFonts w:ascii="Times New Roman" w:hAnsi="Times New Roman"/>
      </w:rPr>
      <w:t>_____________________________________________________________________________________________</w:t>
    </w:r>
  </w:p>
  <w:p w14:paraId="4D74BED9" w14:textId="1C3549A7" w:rsidR="003E3B65" w:rsidRDefault="007522E2">
    <w:pPr>
      <w:pStyle w:val="Rodap"/>
    </w:pPr>
    <w:r w:rsidRPr="007522E2">
      <w:t>Resolução CMN nº 4.900, de 25 de março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9A413" w14:textId="77777777" w:rsidR="00C06961" w:rsidRDefault="00C06961">
      <w:r>
        <w:separator/>
      </w:r>
    </w:p>
  </w:footnote>
  <w:footnote w:type="continuationSeparator" w:id="0">
    <w:p w14:paraId="236CEC9E" w14:textId="77777777" w:rsidR="00C06961" w:rsidRDefault="00C06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8DBEA" w14:textId="77777777" w:rsidR="00740347" w:rsidRDefault="0074034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4399FD7" w14:textId="77777777" w:rsidR="00740347" w:rsidRDefault="0074034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AE390" w14:textId="77777777" w:rsidR="00740347" w:rsidRDefault="00740347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TÍTULO</w:t>
    </w:r>
    <w:r>
      <w:tab/>
      <w:t>: CRÉDITO RURAL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E3B65">
      <w:rPr>
        <w:noProof/>
      </w:rPr>
      <w:t>1</w:t>
    </w:r>
    <w:r>
      <w:fldChar w:fldCharType="end"/>
    </w:r>
  </w:p>
  <w:p w14:paraId="5108CF6C" w14:textId="77777777" w:rsidR="00740347" w:rsidRDefault="00740347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CAPÍTULO</w:t>
    </w:r>
    <w:r>
      <w:tab/>
      <w:t xml:space="preserve">: </w:t>
    </w:r>
    <w:r w:rsidR="00157ABD">
      <w:t xml:space="preserve">Créditos a </w:t>
    </w:r>
    <w:r w:rsidR="005F0554" w:rsidRPr="005F0554">
      <w:t>Cooperativas de Produção Agropecuária</w:t>
    </w:r>
    <w:r w:rsidR="005F0554">
      <w:t xml:space="preserve"> </w:t>
    </w:r>
    <w:r>
      <w:t xml:space="preserve">- </w:t>
    </w:r>
    <w:r w:rsidR="005F0554">
      <w:t>5</w:t>
    </w:r>
  </w:p>
  <w:p w14:paraId="5A0A4058" w14:textId="77777777" w:rsidR="00740347" w:rsidRDefault="00740347" w:rsidP="00913B58">
    <w:pPr>
      <w:pStyle w:val="Cabealho"/>
      <w:tabs>
        <w:tab w:val="clear" w:pos="4419"/>
        <w:tab w:val="clear" w:pos="8838"/>
        <w:tab w:val="left" w:pos="993"/>
        <w:tab w:val="right" w:pos="9639"/>
        <w:tab w:val="right" w:pos="9923"/>
      </w:tabs>
    </w:pPr>
    <w:r>
      <w:t>SEÇÃO</w:t>
    </w:r>
    <w:r>
      <w:tab/>
      <w:t xml:space="preserve">: </w:t>
    </w:r>
    <w:r w:rsidR="000107CF" w:rsidRPr="000107CF">
      <w:t>Integralização de Cotas-Partes</w:t>
    </w:r>
    <w:r w:rsidR="005F0554">
      <w:t xml:space="preserve"> </w:t>
    </w:r>
    <w:r>
      <w:t xml:space="preserve">- </w:t>
    </w:r>
    <w:r w:rsidR="000107CF">
      <w:t>3</w:t>
    </w:r>
    <w:r>
      <w:tab/>
    </w:r>
    <w:r>
      <w:tab/>
      <w:t>(*)</w:t>
    </w:r>
  </w:p>
  <w:p w14:paraId="56534F34" w14:textId="77777777" w:rsidR="00740347" w:rsidRDefault="00740347">
    <w:pPr>
      <w:pStyle w:val="Cabealho"/>
      <w:tabs>
        <w:tab w:val="clear" w:pos="4419"/>
        <w:tab w:val="clear" w:pos="8838"/>
        <w:tab w:val="left" w:pos="1134"/>
        <w:tab w:val="right" w:pos="9639"/>
      </w:tabs>
    </w:pPr>
    <w:r>
      <w:t>_____________________________________________________________________________________________</w:t>
    </w:r>
  </w:p>
  <w:p w14:paraId="5512528F" w14:textId="77777777" w:rsidR="00740347" w:rsidRDefault="00740347">
    <w:pPr>
      <w:pStyle w:val="Cabealho"/>
      <w:tabs>
        <w:tab w:val="clear" w:pos="4419"/>
        <w:tab w:val="clear" w:pos="8838"/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70EBC"/>
    <w:multiLevelType w:val="singleLevel"/>
    <w:tmpl w:val="1006378A"/>
    <w:lvl w:ilvl="0">
      <w:start w:val="1"/>
      <w:numFmt w:val="none"/>
      <w:pStyle w:val="Epgrafe"/>
      <w:lvlText w:val="RESOLUÇÃO 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9371378"/>
    <w:multiLevelType w:val="multilevel"/>
    <w:tmpl w:val="5CE07D6C"/>
    <w:lvl w:ilvl="0">
      <w:start w:val="1"/>
      <w:numFmt w:val="decimal"/>
      <w:pStyle w:val="Artigo"/>
      <w:suff w:val="nothing"/>
      <w:lvlText w:val="Art. %1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1">
      <w:start w:val="1"/>
      <w:numFmt w:val="upperRoman"/>
      <w:suff w:val="nothing"/>
      <w:lvlText w:val="%2 - 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2">
      <w:start w:val="1"/>
      <w:numFmt w:val="lowerLetter"/>
      <w:suff w:val="nothing"/>
      <w:lvlText w:val="%3)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nothing"/>
      <w:lvlText w:val="%4.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4">
      <w:start w:val="1"/>
      <w:numFmt w:val="none"/>
      <w:suff w:val="nothing"/>
      <w:lvlText w:val="- "/>
      <w:lvlJc w:val="left"/>
      <w:pPr>
        <w:ind w:left="0" w:firstLine="1701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E25783"/>
    <w:multiLevelType w:val="hybridMultilevel"/>
    <w:tmpl w:val="9DBE2C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8414B"/>
    <w:multiLevelType w:val="hybridMultilevel"/>
    <w:tmpl w:val="AE52F2F2"/>
    <w:lvl w:ilvl="0" w:tplc="F58218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7DCF3203"/>
    <w:multiLevelType w:val="hybridMultilevel"/>
    <w:tmpl w:val="1E7A8644"/>
    <w:lvl w:ilvl="0" w:tplc="E86C30F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D1477"/>
    <w:multiLevelType w:val="hybridMultilevel"/>
    <w:tmpl w:val="AD2AB488"/>
    <w:lvl w:ilvl="0" w:tplc="2C3AFB0A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 w:tplc="8C1C9294">
      <w:start w:val="1"/>
      <w:numFmt w:val="upperRoman"/>
      <w:pStyle w:val="Seo"/>
      <w:lvlText w:val="%2 -"/>
      <w:lvlJc w:val="left"/>
      <w:pPr>
        <w:tabs>
          <w:tab w:val="num" w:pos="570"/>
        </w:tabs>
        <w:ind w:left="1418" w:hanging="338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mirrorMargins/>
  <w:attachedTemplate r:id="rId1"/>
  <w:doNotTrackMoves/>
  <w:defaultTabStop w:val="720"/>
  <w:consecutiveHyphenLimit w:val="9"/>
  <w:hyphenationZone w:val="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76F3D"/>
    <w:rsid w:val="00000735"/>
    <w:rsid w:val="00003273"/>
    <w:rsid w:val="00004F05"/>
    <w:rsid w:val="000107CF"/>
    <w:rsid w:val="00012EC8"/>
    <w:rsid w:val="0002067F"/>
    <w:rsid w:val="00037F6C"/>
    <w:rsid w:val="00046349"/>
    <w:rsid w:val="00052579"/>
    <w:rsid w:val="00052FB9"/>
    <w:rsid w:val="00062852"/>
    <w:rsid w:val="00075CBB"/>
    <w:rsid w:val="00076F3D"/>
    <w:rsid w:val="00080E69"/>
    <w:rsid w:val="000836AA"/>
    <w:rsid w:val="000841ED"/>
    <w:rsid w:val="000865EA"/>
    <w:rsid w:val="00086865"/>
    <w:rsid w:val="000922F3"/>
    <w:rsid w:val="00096B19"/>
    <w:rsid w:val="000A170D"/>
    <w:rsid w:val="000A59F1"/>
    <w:rsid w:val="000C51D5"/>
    <w:rsid w:val="000C5E04"/>
    <w:rsid w:val="000D60F5"/>
    <w:rsid w:val="000E2B8F"/>
    <w:rsid w:val="000E338A"/>
    <w:rsid w:val="000E341C"/>
    <w:rsid w:val="000E403F"/>
    <w:rsid w:val="000E4E18"/>
    <w:rsid w:val="000E5528"/>
    <w:rsid w:val="000E5EF6"/>
    <w:rsid w:val="000F1073"/>
    <w:rsid w:val="000F14B9"/>
    <w:rsid w:val="000F63AD"/>
    <w:rsid w:val="001034CB"/>
    <w:rsid w:val="00112EF9"/>
    <w:rsid w:val="00113748"/>
    <w:rsid w:val="001168BA"/>
    <w:rsid w:val="001175F8"/>
    <w:rsid w:val="00124409"/>
    <w:rsid w:val="001274DD"/>
    <w:rsid w:val="00135CC0"/>
    <w:rsid w:val="0014200F"/>
    <w:rsid w:val="001433E0"/>
    <w:rsid w:val="001512D5"/>
    <w:rsid w:val="00151E5D"/>
    <w:rsid w:val="00154EC7"/>
    <w:rsid w:val="00157ABD"/>
    <w:rsid w:val="001643AE"/>
    <w:rsid w:val="00175D57"/>
    <w:rsid w:val="00186262"/>
    <w:rsid w:val="0019186E"/>
    <w:rsid w:val="00194B9C"/>
    <w:rsid w:val="00197CF2"/>
    <w:rsid w:val="001C745C"/>
    <w:rsid w:val="001D5AFF"/>
    <w:rsid w:val="001E4DF8"/>
    <w:rsid w:val="001F72C1"/>
    <w:rsid w:val="00201983"/>
    <w:rsid w:val="00207853"/>
    <w:rsid w:val="002224DA"/>
    <w:rsid w:val="002236D2"/>
    <w:rsid w:val="00225917"/>
    <w:rsid w:val="00225FA6"/>
    <w:rsid w:val="0023302A"/>
    <w:rsid w:val="00242767"/>
    <w:rsid w:val="0024736C"/>
    <w:rsid w:val="00247DBC"/>
    <w:rsid w:val="0026636D"/>
    <w:rsid w:val="00293910"/>
    <w:rsid w:val="00296714"/>
    <w:rsid w:val="002977BA"/>
    <w:rsid w:val="002A374C"/>
    <w:rsid w:val="002B040C"/>
    <w:rsid w:val="002B5B1D"/>
    <w:rsid w:val="002C2EDF"/>
    <w:rsid w:val="002E65B8"/>
    <w:rsid w:val="003149DF"/>
    <w:rsid w:val="00320723"/>
    <w:rsid w:val="003220B7"/>
    <w:rsid w:val="003360AF"/>
    <w:rsid w:val="00340F56"/>
    <w:rsid w:val="00341AEE"/>
    <w:rsid w:val="00350426"/>
    <w:rsid w:val="00350C5E"/>
    <w:rsid w:val="00371CAC"/>
    <w:rsid w:val="00374A67"/>
    <w:rsid w:val="00375223"/>
    <w:rsid w:val="00384C7D"/>
    <w:rsid w:val="00392663"/>
    <w:rsid w:val="00393DBF"/>
    <w:rsid w:val="00397C06"/>
    <w:rsid w:val="003B37B4"/>
    <w:rsid w:val="003B37C7"/>
    <w:rsid w:val="003B39FC"/>
    <w:rsid w:val="003B3B9B"/>
    <w:rsid w:val="003C3BD7"/>
    <w:rsid w:val="003C4DBC"/>
    <w:rsid w:val="003C6220"/>
    <w:rsid w:val="003D51DC"/>
    <w:rsid w:val="003E0881"/>
    <w:rsid w:val="003E3B65"/>
    <w:rsid w:val="003E548D"/>
    <w:rsid w:val="003E5620"/>
    <w:rsid w:val="003E6717"/>
    <w:rsid w:val="003F1072"/>
    <w:rsid w:val="00401975"/>
    <w:rsid w:val="004139F3"/>
    <w:rsid w:val="004165DE"/>
    <w:rsid w:val="00420C38"/>
    <w:rsid w:val="0042234D"/>
    <w:rsid w:val="00427FD3"/>
    <w:rsid w:val="00443D0D"/>
    <w:rsid w:val="00445424"/>
    <w:rsid w:val="00466975"/>
    <w:rsid w:val="00470DCC"/>
    <w:rsid w:val="0047622C"/>
    <w:rsid w:val="00481517"/>
    <w:rsid w:val="00481EC5"/>
    <w:rsid w:val="00484E98"/>
    <w:rsid w:val="00486468"/>
    <w:rsid w:val="004908D6"/>
    <w:rsid w:val="004918E7"/>
    <w:rsid w:val="00491BB1"/>
    <w:rsid w:val="004B0545"/>
    <w:rsid w:val="004B0BFB"/>
    <w:rsid w:val="004C03E3"/>
    <w:rsid w:val="004C5233"/>
    <w:rsid w:val="004D69E4"/>
    <w:rsid w:val="004E000F"/>
    <w:rsid w:val="004E1D09"/>
    <w:rsid w:val="004E3711"/>
    <w:rsid w:val="004E663C"/>
    <w:rsid w:val="004F2582"/>
    <w:rsid w:val="004F370E"/>
    <w:rsid w:val="0050005B"/>
    <w:rsid w:val="00501647"/>
    <w:rsid w:val="00514D9B"/>
    <w:rsid w:val="00524163"/>
    <w:rsid w:val="0052766C"/>
    <w:rsid w:val="00531E6B"/>
    <w:rsid w:val="005415B8"/>
    <w:rsid w:val="00541AFE"/>
    <w:rsid w:val="00562EBF"/>
    <w:rsid w:val="00571065"/>
    <w:rsid w:val="0057387D"/>
    <w:rsid w:val="00580173"/>
    <w:rsid w:val="0058477B"/>
    <w:rsid w:val="00586F82"/>
    <w:rsid w:val="00587589"/>
    <w:rsid w:val="00590562"/>
    <w:rsid w:val="0059326F"/>
    <w:rsid w:val="0059582C"/>
    <w:rsid w:val="00595DAB"/>
    <w:rsid w:val="005A4531"/>
    <w:rsid w:val="005B2CE5"/>
    <w:rsid w:val="005C48BF"/>
    <w:rsid w:val="005C5664"/>
    <w:rsid w:val="005C5AD7"/>
    <w:rsid w:val="005C6276"/>
    <w:rsid w:val="005D5CF7"/>
    <w:rsid w:val="005D73D1"/>
    <w:rsid w:val="005F0554"/>
    <w:rsid w:val="006071B6"/>
    <w:rsid w:val="00617C3D"/>
    <w:rsid w:val="00644E5D"/>
    <w:rsid w:val="006457D3"/>
    <w:rsid w:val="00646DF7"/>
    <w:rsid w:val="006551CF"/>
    <w:rsid w:val="0065729D"/>
    <w:rsid w:val="0066108F"/>
    <w:rsid w:val="00680615"/>
    <w:rsid w:val="006975F8"/>
    <w:rsid w:val="006A5749"/>
    <w:rsid w:val="006A782B"/>
    <w:rsid w:val="006B2FEA"/>
    <w:rsid w:val="006D4DF9"/>
    <w:rsid w:val="006E2048"/>
    <w:rsid w:val="006E4E77"/>
    <w:rsid w:val="006F1C6D"/>
    <w:rsid w:val="006F72D6"/>
    <w:rsid w:val="00711691"/>
    <w:rsid w:val="007150E2"/>
    <w:rsid w:val="0072686C"/>
    <w:rsid w:val="00726C94"/>
    <w:rsid w:val="00740347"/>
    <w:rsid w:val="00741148"/>
    <w:rsid w:val="00744C4A"/>
    <w:rsid w:val="007464B4"/>
    <w:rsid w:val="00752072"/>
    <w:rsid w:val="007522E2"/>
    <w:rsid w:val="00760B1B"/>
    <w:rsid w:val="00760DAE"/>
    <w:rsid w:val="00762F11"/>
    <w:rsid w:val="00764D1B"/>
    <w:rsid w:val="00774E06"/>
    <w:rsid w:val="00777302"/>
    <w:rsid w:val="00784587"/>
    <w:rsid w:val="00785FF1"/>
    <w:rsid w:val="007864A0"/>
    <w:rsid w:val="00791241"/>
    <w:rsid w:val="00791FA7"/>
    <w:rsid w:val="00795BAA"/>
    <w:rsid w:val="007A1E18"/>
    <w:rsid w:val="007A31BD"/>
    <w:rsid w:val="007A3C42"/>
    <w:rsid w:val="007B0337"/>
    <w:rsid w:val="007B06EA"/>
    <w:rsid w:val="007B7385"/>
    <w:rsid w:val="007E2722"/>
    <w:rsid w:val="007E5DC4"/>
    <w:rsid w:val="007F4E95"/>
    <w:rsid w:val="007F69EC"/>
    <w:rsid w:val="00803591"/>
    <w:rsid w:val="00810142"/>
    <w:rsid w:val="008156BE"/>
    <w:rsid w:val="00817C66"/>
    <w:rsid w:val="00820FB1"/>
    <w:rsid w:val="008213DD"/>
    <w:rsid w:val="008241E2"/>
    <w:rsid w:val="008249D5"/>
    <w:rsid w:val="0082543D"/>
    <w:rsid w:val="00830417"/>
    <w:rsid w:val="00846107"/>
    <w:rsid w:val="00853E36"/>
    <w:rsid w:val="008579A6"/>
    <w:rsid w:val="0086652B"/>
    <w:rsid w:val="008668FD"/>
    <w:rsid w:val="00871DE9"/>
    <w:rsid w:val="00874904"/>
    <w:rsid w:val="00876BB0"/>
    <w:rsid w:val="00882329"/>
    <w:rsid w:val="008828C6"/>
    <w:rsid w:val="00886A1C"/>
    <w:rsid w:val="00887805"/>
    <w:rsid w:val="0089720B"/>
    <w:rsid w:val="008B09F8"/>
    <w:rsid w:val="008B7B8D"/>
    <w:rsid w:val="008C0D51"/>
    <w:rsid w:val="008C541F"/>
    <w:rsid w:val="008D1F3B"/>
    <w:rsid w:val="008D3B38"/>
    <w:rsid w:val="008E43C0"/>
    <w:rsid w:val="009053A3"/>
    <w:rsid w:val="00910B5F"/>
    <w:rsid w:val="00912988"/>
    <w:rsid w:val="00913B58"/>
    <w:rsid w:val="009229D2"/>
    <w:rsid w:val="009237C4"/>
    <w:rsid w:val="00930A8F"/>
    <w:rsid w:val="009379EC"/>
    <w:rsid w:val="00941CF0"/>
    <w:rsid w:val="00942343"/>
    <w:rsid w:val="009534CE"/>
    <w:rsid w:val="00954A44"/>
    <w:rsid w:val="009573D8"/>
    <w:rsid w:val="00965493"/>
    <w:rsid w:val="00971A76"/>
    <w:rsid w:val="00974C31"/>
    <w:rsid w:val="00983927"/>
    <w:rsid w:val="00993007"/>
    <w:rsid w:val="009A257E"/>
    <w:rsid w:val="009A2A31"/>
    <w:rsid w:val="009A3EDF"/>
    <w:rsid w:val="009A7BC0"/>
    <w:rsid w:val="009B22D0"/>
    <w:rsid w:val="009B3DFA"/>
    <w:rsid w:val="009C784A"/>
    <w:rsid w:val="009E47DA"/>
    <w:rsid w:val="009F1D4D"/>
    <w:rsid w:val="00A020D7"/>
    <w:rsid w:val="00A03980"/>
    <w:rsid w:val="00A15070"/>
    <w:rsid w:val="00A201B4"/>
    <w:rsid w:val="00A24D2C"/>
    <w:rsid w:val="00A27BE3"/>
    <w:rsid w:val="00A40F25"/>
    <w:rsid w:val="00A473EB"/>
    <w:rsid w:val="00A60272"/>
    <w:rsid w:val="00A612D2"/>
    <w:rsid w:val="00A64B3E"/>
    <w:rsid w:val="00A6509F"/>
    <w:rsid w:val="00A73267"/>
    <w:rsid w:val="00A76E24"/>
    <w:rsid w:val="00A84A4A"/>
    <w:rsid w:val="00A87B3A"/>
    <w:rsid w:val="00A9452D"/>
    <w:rsid w:val="00AA4844"/>
    <w:rsid w:val="00AB006B"/>
    <w:rsid w:val="00AB4EAA"/>
    <w:rsid w:val="00AB4FB3"/>
    <w:rsid w:val="00AD0E9B"/>
    <w:rsid w:val="00AD6FC5"/>
    <w:rsid w:val="00AD774A"/>
    <w:rsid w:val="00B024B6"/>
    <w:rsid w:val="00B121C0"/>
    <w:rsid w:val="00B157E7"/>
    <w:rsid w:val="00B2157E"/>
    <w:rsid w:val="00B21ADA"/>
    <w:rsid w:val="00B45B26"/>
    <w:rsid w:val="00B5487E"/>
    <w:rsid w:val="00B64D7A"/>
    <w:rsid w:val="00B65062"/>
    <w:rsid w:val="00B67C07"/>
    <w:rsid w:val="00B71EB1"/>
    <w:rsid w:val="00B7614E"/>
    <w:rsid w:val="00B84FBC"/>
    <w:rsid w:val="00B86C14"/>
    <w:rsid w:val="00BB020D"/>
    <w:rsid w:val="00BB2B6E"/>
    <w:rsid w:val="00BC4EC9"/>
    <w:rsid w:val="00BD723B"/>
    <w:rsid w:val="00BE142E"/>
    <w:rsid w:val="00BF2B33"/>
    <w:rsid w:val="00C061ED"/>
    <w:rsid w:val="00C06961"/>
    <w:rsid w:val="00C10718"/>
    <w:rsid w:val="00C20AB5"/>
    <w:rsid w:val="00C31511"/>
    <w:rsid w:val="00C3507A"/>
    <w:rsid w:val="00C44346"/>
    <w:rsid w:val="00C52375"/>
    <w:rsid w:val="00C54C80"/>
    <w:rsid w:val="00C6639D"/>
    <w:rsid w:val="00C81F3C"/>
    <w:rsid w:val="00C8241E"/>
    <w:rsid w:val="00C84A19"/>
    <w:rsid w:val="00C94149"/>
    <w:rsid w:val="00C94C30"/>
    <w:rsid w:val="00C97F23"/>
    <w:rsid w:val="00CA00CB"/>
    <w:rsid w:val="00CC243C"/>
    <w:rsid w:val="00CC7F21"/>
    <w:rsid w:val="00CF2163"/>
    <w:rsid w:val="00D00293"/>
    <w:rsid w:val="00D0145C"/>
    <w:rsid w:val="00D019BC"/>
    <w:rsid w:val="00D13A3E"/>
    <w:rsid w:val="00D240D1"/>
    <w:rsid w:val="00D25A9F"/>
    <w:rsid w:val="00D3293D"/>
    <w:rsid w:val="00D35AB8"/>
    <w:rsid w:val="00D4002A"/>
    <w:rsid w:val="00D415B7"/>
    <w:rsid w:val="00D4386B"/>
    <w:rsid w:val="00D62A1A"/>
    <w:rsid w:val="00D65B1E"/>
    <w:rsid w:val="00D6768B"/>
    <w:rsid w:val="00D67FCD"/>
    <w:rsid w:val="00D7296C"/>
    <w:rsid w:val="00D73C0D"/>
    <w:rsid w:val="00D73F57"/>
    <w:rsid w:val="00D77922"/>
    <w:rsid w:val="00DB2618"/>
    <w:rsid w:val="00DB693F"/>
    <w:rsid w:val="00DC10D5"/>
    <w:rsid w:val="00DC2D07"/>
    <w:rsid w:val="00DC63CF"/>
    <w:rsid w:val="00DD01E1"/>
    <w:rsid w:val="00DD0787"/>
    <w:rsid w:val="00DD2C84"/>
    <w:rsid w:val="00DE12D1"/>
    <w:rsid w:val="00DE5E47"/>
    <w:rsid w:val="00DE7DEB"/>
    <w:rsid w:val="00DF0085"/>
    <w:rsid w:val="00DF0C93"/>
    <w:rsid w:val="00DF5610"/>
    <w:rsid w:val="00E12DFF"/>
    <w:rsid w:val="00E167F5"/>
    <w:rsid w:val="00E16D25"/>
    <w:rsid w:val="00E20037"/>
    <w:rsid w:val="00E30CDC"/>
    <w:rsid w:val="00E40389"/>
    <w:rsid w:val="00E43E0C"/>
    <w:rsid w:val="00E545E2"/>
    <w:rsid w:val="00E60FC4"/>
    <w:rsid w:val="00E71AED"/>
    <w:rsid w:val="00E73196"/>
    <w:rsid w:val="00E81187"/>
    <w:rsid w:val="00EA3636"/>
    <w:rsid w:val="00EB0B9C"/>
    <w:rsid w:val="00EB5926"/>
    <w:rsid w:val="00EC5274"/>
    <w:rsid w:val="00EC5AAF"/>
    <w:rsid w:val="00EC5F08"/>
    <w:rsid w:val="00ED5ECE"/>
    <w:rsid w:val="00EF6A76"/>
    <w:rsid w:val="00F03A9E"/>
    <w:rsid w:val="00F03FA0"/>
    <w:rsid w:val="00F14689"/>
    <w:rsid w:val="00F201B9"/>
    <w:rsid w:val="00F30577"/>
    <w:rsid w:val="00F3097E"/>
    <w:rsid w:val="00F350AC"/>
    <w:rsid w:val="00F410AA"/>
    <w:rsid w:val="00F43F4B"/>
    <w:rsid w:val="00F4682E"/>
    <w:rsid w:val="00F828CE"/>
    <w:rsid w:val="00F86D1F"/>
    <w:rsid w:val="00F87662"/>
    <w:rsid w:val="00F91FF5"/>
    <w:rsid w:val="00F969E1"/>
    <w:rsid w:val="00F97947"/>
    <w:rsid w:val="00FA3F0B"/>
    <w:rsid w:val="00FB5AB8"/>
    <w:rsid w:val="00FC1403"/>
    <w:rsid w:val="00FC5621"/>
    <w:rsid w:val="00F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DA0CA2F"/>
  <w15:chartTrackingRefBased/>
  <w15:docId w15:val="{C2E65E81-498D-4ECF-B8F4-F2370701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MS Mincho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1080"/>
        <w:tab w:val="left" w:pos="8789"/>
      </w:tabs>
      <w:autoSpaceDE w:val="0"/>
      <w:autoSpaceDN w:val="0"/>
      <w:adjustRightInd w:val="0"/>
      <w:ind w:left="284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ind w:left="284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color w:val="00000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semiHidden/>
  </w:style>
  <w:style w:type="paragraph" w:styleId="TextosemFormatao">
    <w:name w:val="Plain Text"/>
    <w:basedOn w:val="Normal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customStyle="1" w:styleId="ementa">
    <w:name w:val="ementa"/>
    <w:next w:val="Normal"/>
    <w:autoRedefine/>
    <w:pPr>
      <w:ind w:left="5103"/>
      <w:jc w:val="both"/>
    </w:pPr>
    <w:rPr>
      <w:sz w:val="24"/>
    </w:rPr>
  </w:style>
  <w:style w:type="paragraph" w:customStyle="1" w:styleId="ttulo">
    <w:name w:val="título"/>
    <w:next w:val="ementa"/>
    <w:autoRedefine/>
    <w:pPr>
      <w:jc w:val="center"/>
    </w:pPr>
    <w:rPr>
      <w:smallCaps/>
    </w:rPr>
  </w:style>
  <w:style w:type="paragraph" w:styleId="Ttulo0">
    <w:name w:val="Title"/>
    <w:basedOn w:val="Normal"/>
    <w:qFormat/>
    <w:pPr>
      <w:tabs>
        <w:tab w:val="left" w:pos="1418"/>
        <w:tab w:val="left" w:pos="1701"/>
      </w:tabs>
      <w:jc w:val="center"/>
    </w:pPr>
    <w:rPr>
      <w:sz w:val="24"/>
    </w:rPr>
  </w:style>
  <w:style w:type="paragraph" w:styleId="Recuodecorpodetexto">
    <w:name w:val="Body Text Indent"/>
    <w:basedOn w:val="Normal"/>
    <w:semiHidden/>
    <w:pPr>
      <w:tabs>
        <w:tab w:val="left" w:pos="1418"/>
        <w:tab w:val="left" w:pos="1701"/>
      </w:tabs>
      <w:ind w:left="5103"/>
      <w:jc w:val="both"/>
    </w:pPr>
    <w:rPr>
      <w:sz w:val="24"/>
    </w:rPr>
  </w:style>
  <w:style w:type="paragraph" w:customStyle="1" w:styleId="fecho">
    <w:name w:val="fecho"/>
    <w:basedOn w:val="Normal"/>
    <w:next w:val="Normal"/>
    <w:pPr>
      <w:tabs>
        <w:tab w:val="left" w:pos="1418"/>
      </w:tabs>
      <w:ind w:left="5103"/>
      <w:jc w:val="both"/>
    </w:pPr>
    <w:rPr>
      <w:sz w:val="24"/>
    </w:rPr>
  </w:style>
  <w:style w:type="paragraph" w:customStyle="1" w:styleId="Ementa0">
    <w:name w:val="Ementa"/>
    <w:basedOn w:val="Normal"/>
    <w:next w:val="Normal"/>
    <w:pPr>
      <w:spacing w:after="360"/>
      <w:ind w:left="5103"/>
      <w:jc w:val="both"/>
    </w:pPr>
    <w:rPr>
      <w:sz w:val="24"/>
    </w:rPr>
  </w:style>
  <w:style w:type="paragraph" w:customStyle="1" w:styleId="Epgrafe">
    <w:name w:val="Epígrafe"/>
    <w:next w:val="Ementa0"/>
    <w:pPr>
      <w:widowControl w:val="0"/>
      <w:numPr>
        <w:numId w:val="2"/>
      </w:numPr>
      <w:tabs>
        <w:tab w:val="clear" w:pos="1800"/>
      </w:tabs>
      <w:spacing w:after="360"/>
      <w:jc w:val="center"/>
      <w:outlineLvl w:val="0"/>
    </w:pPr>
    <w:rPr>
      <w:noProof/>
      <w:sz w:val="24"/>
    </w:rPr>
  </w:style>
  <w:style w:type="paragraph" w:customStyle="1" w:styleId="Linha">
    <w:name w:val="Linha"/>
    <w:basedOn w:val="Normal"/>
    <w:next w:val="Normal"/>
    <w:pPr>
      <w:tabs>
        <w:tab w:val="right" w:leader="underscore" w:pos="10206"/>
      </w:tabs>
      <w:jc w:val="both"/>
    </w:pPr>
    <w:rPr>
      <w:sz w:val="24"/>
    </w:rPr>
  </w:style>
  <w:style w:type="paragraph" w:customStyle="1" w:styleId="Rodap29">
    <w:name w:val="Rodapé29"/>
    <w:basedOn w:val="Normal"/>
    <w:pPr>
      <w:jc w:val="both"/>
    </w:pPr>
    <w:rPr>
      <w:sz w:val="24"/>
    </w:rPr>
  </w:style>
  <w:style w:type="paragraph" w:styleId="Recuodecorpodetexto2">
    <w:name w:val="Body Text Indent 2"/>
    <w:basedOn w:val="Normal"/>
    <w:semiHidden/>
    <w:pPr>
      <w:tabs>
        <w:tab w:val="left" w:pos="1418"/>
      </w:tabs>
      <w:ind w:firstLine="1416"/>
      <w:jc w:val="both"/>
    </w:pPr>
    <w:rPr>
      <w:sz w:val="24"/>
      <w:lang w:val="es-ES_tradnl"/>
    </w:rPr>
  </w:style>
  <w:style w:type="paragraph" w:styleId="Corpodetexto2">
    <w:name w:val="Body Text 2"/>
    <w:basedOn w:val="Normal"/>
    <w:semiHidden/>
    <w:pPr>
      <w:ind w:right="453"/>
      <w:jc w:val="both"/>
    </w:pPr>
    <w:rPr>
      <w:rFonts w:eastAsia="MS Mincho"/>
      <w:sz w:val="24"/>
    </w:rPr>
  </w:style>
  <w:style w:type="paragraph" w:styleId="Recuodecorpodetexto3">
    <w:name w:val="Body Text Indent 3"/>
    <w:basedOn w:val="Normal"/>
    <w:link w:val="Recuodecorpodetexto3Char"/>
    <w:semiHidden/>
    <w:pPr>
      <w:tabs>
        <w:tab w:val="right" w:pos="10064"/>
      </w:tabs>
      <w:ind w:left="284" w:hanging="284"/>
      <w:jc w:val="both"/>
    </w:pPr>
  </w:style>
  <w:style w:type="paragraph" w:customStyle="1" w:styleId="parag">
    <w:name w:val="parag"/>
    <w:pPr>
      <w:tabs>
        <w:tab w:val="left" w:pos="1418"/>
      </w:tabs>
      <w:ind w:firstLine="1418"/>
      <w:jc w:val="both"/>
    </w:pPr>
    <w:rPr>
      <w:sz w:val="24"/>
    </w:rPr>
  </w:style>
  <w:style w:type="paragraph" w:customStyle="1" w:styleId="expandido">
    <w:name w:val="expandido"/>
    <w:next w:val="Normal"/>
    <w:pPr>
      <w:tabs>
        <w:tab w:val="left" w:pos="1418"/>
      </w:tabs>
    </w:pPr>
    <w:rPr>
      <w:sz w:val="24"/>
    </w:rPr>
  </w:style>
  <w:style w:type="paragraph" w:customStyle="1" w:styleId="citao">
    <w:name w:val="citação"/>
    <w:pPr>
      <w:tabs>
        <w:tab w:val="right" w:leader="dot" w:pos="10206"/>
      </w:tabs>
      <w:ind w:left="709" w:firstLine="709"/>
      <w:jc w:val="both"/>
    </w:pPr>
    <w:rPr>
      <w:sz w:val="24"/>
    </w:rPr>
  </w:style>
  <w:style w:type="paragraph" w:customStyle="1" w:styleId="Artigo">
    <w:name w:val="Artigo"/>
    <w:basedOn w:val="parag"/>
    <w:autoRedefine/>
    <w:pPr>
      <w:numPr>
        <w:numId w:val="3"/>
      </w:numPr>
      <w:suppressLineNumbers/>
      <w:tabs>
        <w:tab w:val="clear" w:pos="1418"/>
        <w:tab w:val="left" w:pos="1701"/>
      </w:tabs>
      <w:spacing w:after="240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1">
    <w:name w:val="texto1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pPr>
      <w:tabs>
        <w:tab w:val="left" w:pos="1260"/>
      </w:tabs>
    </w:pPr>
    <w:rPr>
      <w:color w:val="000000"/>
    </w:rPr>
  </w:style>
  <w:style w:type="paragraph" w:customStyle="1" w:styleId="vocativo">
    <w:name w:val="vocativo"/>
    <w:pPr>
      <w:widowControl w:val="0"/>
      <w:suppressAutoHyphens/>
      <w:spacing w:after="240" w:line="360" w:lineRule="auto"/>
      <w:jc w:val="both"/>
    </w:pPr>
    <w:rPr>
      <w:rFonts w:ascii="Arial" w:hAnsi="Arial"/>
      <w:sz w:val="24"/>
      <w:lang w:eastAsia="ar-SA"/>
    </w:rPr>
  </w:style>
  <w:style w:type="paragraph" w:customStyle="1" w:styleId="Seo">
    <w:name w:val="Seção"/>
    <w:basedOn w:val="Normal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5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0562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87589"/>
  </w:style>
  <w:style w:type="character" w:customStyle="1" w:styleId="Corpodetexto3Char">
    <w:name w:val="Corpo de texto 3 Char"/>
    <w:link w:val="Corpodetexto3"/>
    <w:semiHidden/>
    <w:rsid w:val="002236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10</TotalTime>
  <Pages>1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Banco Central do Brasil</dc:creator>
  <cp:keywords/>
  <cp:lastModifiedBy>Claudio Baruzzi</cp:lastModifiedBy>
  <cp:revision>18</cp:revision>
  <cp:lastPrinted>2011-07-15T13:56:00Z</cp:lastPrinted>
  <dcterms:created xsi:type="dcterms:W3CDTF">2014-07-23T14:30:00Z</dcterms:created>
  <dcterms:modified xsi:type="dcterms:W3CDTF">2021-05-01T22:00:00Z</dcterms:modified>
</cp:coreProperties>
</file>