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7010" w14:textId="77777777" w:rsidR="00A0733D" w:rsidRPr="001E40BA" w:rsidRDefault="00A0733D" w:rsidP="00A0733D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1E40BA">
        <w:t>TÍTULO</w:t>
      </w:r>
      <w:r w:rsidRPr="001E40BA">
        <w:tab/>
        <w:t>: CRÉDITO RURAL</w:t>
      </w:r>
      <w:r w:rsidRPr="001E40BA">
        <w:tab/>
      </w:r>
      <w:r w:rsidRPr="001E40BA">
        <w:fldChar w:fldCharType="begin"/>
      </w:r>
      <w:r w:rsidRPr="001E40BA">
        <w:instrText xml:space="preserve"> PAGE  \* MERGEFORMAT </w:instrText>
      </w:r>
      <w:r w:rsidRPr="001E40BA">
        <w:fldChar w:fldCharType="separate"/>
      </w:r>
      <w:r w:rsidRPr="001E40BA">
        <w:rPr>
          <w:noProof/>
        </w:rPr>
        <w:t>1</w:t>
      </w:r>
      <w:r w:rsidRPr="001E40BA">
        <w:fldChar w:fldCharType="end"/>
      </w:r>
    </w:p>
    <w:p w14:paraId="2691C731" w14:textId="71825EEF" w:rsidR="00A0733D" w:rsidRPr="001E40BA" w:rsidRDefault="00A0733D" w:rsidP="00A0733D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1E40BA">
        <w:t>CAPÍTULO</w:t>
      </w:r>
      <w:r w:rsidRPr="001E40BA">
        <w:tab/>
        <w:t xml:space="preserve">: </w:t>
      </w:r>
      <w:r w:rsidR="00860665" w:rsidRPr="001E40BA">
        <w:t>Finalidades e Instrumentos Especiais de Política Agrícola</w:t>
      </w:r>
      <w:r w:rsidRPr="001E40BA">
        <w:t xml:space="preserve"> - 4</w:t>
      </w:r>
    </w:p>
    <w:p w14:paraId="4193712D" w14:textId="7D7EC336" w:rsidR="00A0733D" w:rsidRPr="001E40BA" w:rsidRDefault="00A0733D" w:rsidP="00A0733D">
      <w:pPr>
        <w:pStyle w:val="TextosemFormatao"/>
        <w:tabs>
          <w:tab w:val="left" w:pos="992"/>
          <w:tab w:val="right" w:pos="9923"/>
        </w:tabs>
        <w:jc w:val="left"/>
        <w:rPr>
          <w:rFonts w:ascii="Times New Roman" w:hAnsi="Times New Roman"/>
        </w:rPr>
      </w:pPr>
      <w:r w:rsidRPr="001E40BA">
        <w:rPr>
          <w:rFonts w:ascii="Times New Roman" w:hAnsi="Times New Roman"/>
        </w:rPr>
        <w:t>SEÇÃO</w:t>
      </w:r>
      <w:r w:rsidRPr="001E40BA">
        <w:rPr>
          <w:rFonts w:ascii="Times New Roman" w:hAnsi="Times New Roman"/>
        </w:rPr>
        <w:tab/>
        <w:t xml:space="preserve">: </w:t>
      </w:r>
      <w:r w:rsidR="00FE0E67" w:rsidRPr="001E40BA">
        <w:rPr>
          <w:rFonts w:ascii="Times New Roman" w:hAnsi="Times New Roman"/>
        </w:rPr>
        <w:t>Normas Transitórias</w:t>
      </w:r>
      <w:r w:rsidRPr="001E40BA">
        <w:rPr>
          <w:rFonts w:ascii="Times New Roman" w:hAnsi="Times New Roman"/>
        </w:rPr>
        <w:t xml:space="preserve"> </w:t>
      </w:r>
      <w:r w:rsidR="00860665" w:rsidRPr="001E40BA">
        <w:rPr>
          <w:rFonts w:ascii="Times New Roman" w:hAnsi="Times New Roman"/>
        </w:rPr>
        <w:t>-</w:t>
      </w:r>
      <w:r w:rsidRPr="001E40BA">
        <w:rPr>
          <w:rFonts w:ascii="Times New Roman" w:hAnsi="Times New Roman"/>
        </w:rPr>
        <w:t xml:space="preserve"> </w:t>
      </w:r>
      <w:r w:rsidR="00FE0E67" w:rsidRPr="001E40BA">
        <w:rPr>
          <w:rFonts w:ascii="Times New Roman" w:hAnsi="Times New Roman"/>
        </w:rPr>
        <w:t>8</w:t>
      </w:r>
    </w:p>
    <w:p w14:paraId="5069A509" w14:textId="77777777" w:rsidR="00A0733D" w:rsidRPr="001E40BA" w:rsidRDefault="00A0733D" w:rsidP="00A0733D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  <w:jc w:val="both"/>
      </w:pPr>
      <w:r w:rsidRPr="001E40BA">
        <w:t>_____________________________________________________________________________________________</w:t>
      </w:r>
    </w:p>
    <w:p w14:paraId="7FED345D" w14:textId="77777777" w:rsidR="00A0733D" w:rsidRPr="001E40BA" w:rsidRDefault="00A0733D" w:rsidP="00A0733D">
      <w:pPr>
        <w:pStyle w:val="TextosemFormatao"/>
        <w:tabs>
          <w:tab w:val="left" w:pos="1418"/>
          <w:tab w:val="right" w:pos="9923"/>
        </w:tabs>
        <w:rPr>
          <w:rFonts w:ascii="Times New Roman" w:eastAsia="MS Mincho" w:hAnsi="Times New Roman"/>
        </w:rPr>
      </w:pPr>
    </w:p>
    <w:p w14:paraId="3A453352" w14:textId="50FBB624" w:rsidR="00FE0E67" w:rsidRPr="001E40BA" w:rsidRDefault="00C14E02" w:rsidP="004F4FB2">
      <w:pPr>
        <w:tabs>
          <w:tab w:val="right" w:pos="9923"/>
        </w:tabs>
        <w:ind w:left="284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1 - </w:t>
      </w:r>
      <w:r w:rsidR="00FE0E67" w:rsidRPr="001E40BA">
        <w:t>Excepcionalmente</w:t>
      </w:r>
      <w:r w:rsidR="00FE0E67" w:rsidRPr="001E40BA">
        <w:rPr>
          <w:rFonts w:eastAsia="MS Mincho"/>
        </w:rPr>
        <w:t xml:space="preserve">, no </w:t>
      </w:r>
      <w:r w:rsidR="00FE0E67" w:rsidRPr="001E40BA">
        <w:t>ano</w:t>
      </w:r>
      <w:r w:rsidR="00FE0E67" w:rsidRPr="001E40BA">
        <w:rPr>
          <w:rFonts w:eastAsia="MS Mincho"/>
        </w:rPr>
        <w:t xml:space="preserve"> agrícola 2020/2021, a contratação de Financiamento para Garantia de Preços ao Produtor (FGPP), ao amparo de Recursos Obrigatórios, para a comercialização de produtos da pesca comercial por captura e da aquicultura, deve observar o disposto na seção deste manual que disciplina o FGPP e as seguintes condições específicas:</w:t>
      </w:r>
      <w:r w:rsidR="007D728D" w:rsidRPr="001E40BA">
        <w:rPr>
          <w:rFonts w:eastAsia="MS Mincho"/>
        </w:rPr>
        <w:t xml:space="preserve"> (Res CMN 4.900 </w:t>
      </w:r>
      <w:proofErr w:type="spellStart"/>
      <w:r w:rsidR="007D728D" w:rsidRPr="001E40BA">
        <w:rPr>
          <w:rFonts w:eastAsia="MS Mincho"/>
        </w:rPr>
        <w:t>art</w:t>
      </w:r>
      <w:proofErr w:type="spellEnd"/>
      <w:r w:rsidR="007D728D" w:rsidRPr="001E40BA">
        <w:rPr>
          <w:rFonts w:eastAsia="MS Mincho"/>
        </w:rPr>
        <w:t xml:space="preserve"> 1º)</w:t>
      </w:r>
    </w:p>
    <w:p w14:paraId="0BCEB0B3" w14:textId="77777777" w:rsidR="00FE0E67" w:rsidRPr="001E40BA" w:rsidRDefault="00FE0E67" w:rsidP="004F4FB2">
      <w:pPr>
        <w:tabs>
          <w:tab w:val="right" w:pos="9923"/>
        </w:tabs>
        <w:ind w:left="568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a) </w:t>
      </w:r>
      <w:r w:rsidRPr="001E40BA">
        <w:t xml:space="preserve">limite de crédito: até R$65.000.000,00 (sessenta e cinco milhões de reais) por </w:t>
      </w:r>
      <w:r w:rsidRPr="001E40BA">
        <w:rPr>
          <w:rFonts w:eastAsia="Calibri"/>
          <w:color w:val="000000"/>
          <w:szCs w:val="24"/>
          <w:lang w:eastAsia="en-US"/>
        </w:rPr>
        <w:t>mutuário</w:t>
      </w:r>
      <w:r w:rsidRPr="001E40BA">
        <w:rPr>
          <w:rFonts w:eastAsia="MS Mincho"/>
        </w:rPr>
        <w:t>;</w:t>
      </w:r>
    </w:p>
    <w:p w14:paraId="135D89B0" w14:textId="77777777" w:rsidR="00FE0E67" w:rsidRPr="001E40BA" w:rsidRDefault="00FE0E67" w:rsidP="004F4FB2">
      <w:pPr>
        <w:tabs>
          <w:tab w:val="right" w:pos="9923"/>
        </w:tabs>
        <w:ind w:left="568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b) </w:t>
      </w:r>
      <w:r w:rsidRPr="001E40BA">
        <w:t>preço</w:t>
      </w:r>
      <w:r w:rsidRPr="001E40BA">
        <w:rPr>
          <w:rFonts w:eastAsia="MS Mincho"/>
        </w:rPr>
        <w:t xml:space="preserve"> de </w:t>
      </w:r>
      <w:r w:rsidRPr="001E40BA">
        <w:t>referência</w:t>
      </w:r>
      <w:r w:rsidRPr="001E40BA">
        <w:rPr>
          <w:rFonts w:eastAsia="MS Mincho"/>
        </w:rPr>
        <w:t>: os constantes na seção Atividade Pesqueira e Aquícola deste manual;</w:t>
      </w:r>
    </w:p>
    <w:p w14:paraId="0677E36E" w14:textId="77777777" w:rsidR="00FE0E67" w:rsidRPr="001E40BA" w:rsidRDefault="00FE0E67" w:rsidP="004F4FB2">
      <w:pPr>
        <w:tabs>
          <w:tab w:val="right" w:pos="9923"/>
        </w:tabs>
        <w:ind w:left="568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c) </w:t>
      </w:r>
      <w:r w:rsidRPr="001E40BA">
        <w:t>prazo</w:t>
      </w:r>
      <w:r w:rsidRPr="001E40BA">
        <w:rPr>
          <w:rFonts w:eastAsia="MS Mincho"/>
        </w:rPr>
        <w:t xml:space="preserve"> de </w:t>
      </w:r>
      <w:r w:rsidRPr="001E40BA">
        <w:t>reembolso</w:t>
      </w:r>
      <w:r w:rsidRPr="001E40BA">
        <w:rPr>
          <w:rFonts w:eastAsia="MS Mincho"/>
        </w:rPr>
        <w:t>: até 240 (duzentos e quarenta) dias;</w:t>
      </w:r>
    </w:p>
    <w:p w14:paraId="405CB92B" w14:textId="77777777" w:rsidR="00FE0E67" w:rsidRPr="001E40BA" w:rsidRDefault="00FE0E67" w:rsidP="004F4FB2">
      <w:pPr>
        <w:tabs>
          <w:tab w:val="right" w:pos="9923"/>
        </w:tabs>
        <w:ind w:left="568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d) </w:t>
      </w:r>
      <w:r w:rsidRPr="001E40BA">
        <w:t>para</w:t>
      </w:r>
      <w:r w:rsidRPr="001E40BA">
        <w:rPr>
          <w:rFonts w:eastAsia="MS Mincho"/>
        </w:rPr>
        <w:t xml:space="preserve"> fins de </w:t>
      </w:r>
      <w:r w:rsidRPr="001E40BA">
        <w:t>comprovação</w:t>
      </w:r>
      <w:r w:rsidRPr="001E40BA">
        <w:rPr>
          <w:rFonts w:eastAsia="MS Mincho"/>
        </w:rPr>
        <w:t xml:space="preserve"> do valor financiado, devem-se observar as seguintes condições:</w:t>
      </w:r>
    </w:p>
    <w:p w14:paraId="40388807" w14:textId="77777777" w:rsidR="00FE0E67" w:rsidRPr="001E40BA" w:rsidRDefault="00FE0E67" w:rsidP="004F4FB2">
      <w:pPr>
        <w:tabs>
          <w:tab w:val="right" w:pos="9923"/>
        </w:tabs>
        <w:ind w:left="851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I - </w:t>
      </w:r>
      <w:proofErr w:type="gramStart"/>
      <w:r w:rsidRPr="001E40BA">
        <w:t>independentemente</w:t>
      </w:r>
      <w:proofErr w:type="gramEnd"/>
      <w:r w:rsidRPr="001E40BA">
        <w:rPr>
          <w:rFonts w:eastAsia="MS Mincho"/>
        </w:rPr>
        <w:t xml:space="preserve"> do número de operações efetuadas, os valores apresentados nos comprovantes representativos das despesas realizadas pelo mutuário devem observar o limite definido para o Financiamento Especial para Estocagem de Produtos Agropecuários (FEE) e para o desconto de Duplicata Rural (DR) e Nota Promissória Rural (NPR), por produtor e instituição financeira;</w:t>
      </w:r>
    </w:p>
    <w:p w14:paraId="53C7537A" w14:textId="77777777" w:rsidR="00FE0E67" w:rsidRPr="001E40BA" w:rsidRDefault="00FE0E67" w:rsidP="004F4FB2">
      <w:pPr>
        <w:tabs>
          <w:tab w:val="right" w:pos="9923"/>
        </w:tabs>
        <w:ind w:left="851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II - é </w:t>
      </w:r>
      <w:r w:rsidRPr="001E40BA">
        <w:t>vedada</w:t>
      </w:r>
      <w:r w:rsidRPr="001E40BA">
        <w:rPr>
          <w:rFonts w:eastAsia="MS Mincho"/>
        </w:rPr>
        <w:t xml:space="preserve"> a utilização da mesma nota fiscal de aquisição do produto para fins de comprovação de diferentes operações em uma ou mais instituição financeira;</w:t>
      </w:r>
    </w:p>
    <w:p w14:paraId="20DA4E7B" w14:textId="77777777" w:rsidR="00FE0E67" w:rsidRPr="001E40BA" w:rsidRDefault="00FE0E67" w:rsidP="004F4FB2">
      <w:pPr>
        <w:tabs>
          <w:tab w:val="right" w:pos="9923"/>
        </w:tabs>
        <w:ind w:left="851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III - </w:t>
      </w:r>
      <w:r w:rsidRPr="001E40BA">
        <w:rPr>
          <w:color w:val="000000"/>
        </w:rPr>
        <w:t xml:space="preserve">o </w:t>
      </w:r>
      <w:r w:rsidRPr="001E40BA">
        <w:rPr>
          <w:rFonts w:eastAsia="Calibri"/>
          <w:color w:val="000000"/>
          <w:szCs w:val="24"/>
          <w:lang w:eastAsia="en-US"/>
        </w:rPr>
        <w:t xml:space="preserve">mutuário </w:t>
      </w:r>
      <w:r w:rsidRPr="001E40BA">
        <w:rPr>
          <w:color w:val="000000"/>
        </w:rPr>
        <w:t>deve apresentar à instituição financeira declaração de que cumpriu as condições estabelecidas neste item;</w:t>
      </w:r>
    </w:p>
    <w:p w14:paraId="72019262" w14:textId="77777777" w:rsidR="00FE0E67" w:rsidRPr="001E40BA" w:rsidRDefault="00FE0E67" w:rsidP="004F4FB2">
      <w:pPr>
        <w:tabs>
          <w:tab w:val="right" w:pos="9923"/>
        </w:tabs>
        <w:ind w:left="851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IV - </w:t>
      </w:r>
      <w:proofErr w:type="gramStart"/>
      <w:r w:rsidRPr="001E40BA">
        <w:rPr>
          <w:color w:val="000000"/>
        </w:rPr>
        <w:t>o</w:t>
      </w:r>
      <w:proofErr w:type="gramEnd"/>
      <w:r w:rsidRPr="001E40BA">
        <w:rPr>
          <w:color w:val="000000"/>
        </w:rPr>
        <w:t xml:space="preserve"> </w:t>
      </w:r>
      <w:r w:rsidRPr="001E40BA">
        <w:t>limite</w:t>
      </w:r>
      <w:r w:rsidRPr="001E40BA">
        <w:rPr>
          <w:color w:val="000000"/>
        </w:rPr>
        <w:t xml:space="preserve"> </w:t>
      </w:r>
      <w:r w:rsidRPr="001E40BA">
        <w:t>adquirido</w:t>
      </w:r>
      <w:r w:rsidRPr="001E40BA">
        <w:rPr>
          <w:color w:val="000000"/>
        </w:rPr>
        <w:t xml:space="preserve"> de cada produtor rural e o limite individual aplicável aos créditos de comercialização tomados diretamente pelo produtor rural são independentes entre si</w:t>
      </w:r>
      <w:r w:rsidRPr="001E40BA">
        <w:rPr>
          <w:rFonts w:eastAsia="MS Mincho"/>
        </w:rPr>
        <w:t>;</w:t>
      </w:r>
    </w:p>
    <w:p w14:paraId="044467BD" w14:textId="00981AC6" w:rsidR="007D728D" w:rsidRPr="001E40BA" w:rsidRDefault="00FE0E67" w:rsidP="004F4FB2">
      <w:pPr>
        <w:tabs>
          <w:tab w:val="right" w:pos="9923"/>
        </w:tabs>
        <w:spacing w:after="120"/>
        <w:ind w:left="851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V - </w:t>
      </w:r>
      <w:r w:rsidRPr="001E40BA">
        <w:rPr>
          <w:color w:val="000000"/>
        </w:rPr>
        <w:t xml:space="preserve">é </w:t>
      </w:r>
      <w:r w:rsidRPr="001E40BA">
        <w:t>permitido</w:t>
      </w:r>
      <w:r w:rsidRPr="001E40BA">
        <w:rPr>
          <w:color w:val="000000"/>
        </w:rPr>
        <w:t xml:space="preserve"> </w:t>
      </w:r>
      <w:r w:rsidRPr="001E40BA">
        <w:t>que</w:t>
      </w:r>
      <w:r w:rsidRPr="001E40BA">
        <w:rPr>
          <w:color w:val="000000"/>
        </w:rPr>
        <w:t xml:space="preserve"> mais de um </w:t>
      </w:r>
      <w:r w:rsidRPr="001E40BA">
        <w:rPr>
          <w:rFonts w:eastAsia="Calibri"/>
          <w:color w:val="000000"/>
          <w:szCs w:val="24"/>
          <w:lang w:eastAsia="en-US"/>
        </w:rPr>
        <w:t xml:space="preserve">mutuário </w:t>
      </w:r>
      <w:r w:rsidRPr="001E40BA">
        <w:rPr>
          <w:color w:val="000000"/>
        </w:rPr>
        <w:t>do crédito de que trata este item adquira a produção de um mesmo produtor rural, observados os limites por produtor previstos para o FEE e para o desconto de DR e NPR</w:t>
      </w:r>
      <w:r w:rsidR="00860665" w:rsidRPr="001E40BA">
        <w:rPr>
          <w:rFonts w:eastAsia="MS Mincho"/>
        </w:rPr>
        <w:t>.</w:t>
      </w:r>
    </w:p>
    <w:p w14:paraId="0DD22BE7" w14:textId="3473E3CF" w:rsidR="007D728D" w:rsidRPr="001E40BA" w:rsidRDefault="007D728D" w:rsidP="004F4FB2">
      <w:pPr>
        <w:tabs>
          <w:tab w:val="right" w:pos="9923"/>
        </w:tabs>
        <w:ind w:left="284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2 - Excepcionalmente, no ano agrícola 2022/2023, a contratação de Financiamento para Garantia de Preços ao Produtor (FGPP), ao amparo de Recursos Obrigatórios, para a comercialização de produtos da pesca comercial por captura e da aquicultura, deve observar o disposto na seção deste manual que disciplina o FGPP e as seguintes condições específicas: (Res CMN 5.029 </w:t>
      </w:r>
      <w:proofErr w:type="spellStart"/>
      <w:r w:rsidRPr="001E40BA">
        <w:rPr>
          <w:rFonts w:eastAsia="MS Mincho"/>
        </w:rPr>
        <w:t>art</w:t>
      </w:r>
      <w:proofErr w:type="spellEnd"/>
      <w:r w:rsidRPr="001E40BA">
        <w:rPr>
          <w:rFonts w:eastAsia="MS Mincho"/>
        </w:rPr>
        <w:t xml:space="preserve"> 1º)</w:t>
      </w:r>
      <w:r w:rsidRPr="001E40BA">
        <w:rPr>
          <w:rFonts w:eastAsia="MS Mincho"/>
        </w:rPr>
        <w:tab/>
        <w:t>(*)</w:t>
      </w:r>
    </w:p>
    <w:p w14:paraId="52EAFEC8" w14:textId="77777777" w:rsidR="007D728D" w:rsidRPr="001E40BA" w:rsidRDefault="007D728D" w:rsidP="004F4FB2">
      <w:pPr>
        <w:tabs>
          <w:tab w:val="right" w:pos="9923"/>
        </w:tabs>
        <w:ind w:left="568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a) limite de </w:t>
      </w:r>
      <w:r w:rsidRPr="001E40BA">
        <w:t>crédito</w:t>
      </w:r>
      <w:r w:rsidRPr="001E40BA">
        <w:rPr>
          <w:rFonts w:eastAsia="MS Mincho"/>
        </w:rPr>
        <w:t>: até R$65.000.000,00 (sessenta e cinco milhões de reais) por mutuário;</w:t>
      </w:r>
    </w:p>
    <w:p w14:paraId="1C3D228A" w14:textId="77777777" w:rsidR="007D728D" w:rsidRPr="001E40BA" w:rsidRDefault="007D728D" w:rsidP="004F4FB2">
      <w:pPr>
        <w:tabs>
          <w:tab w:val="right" w:pos="9923"/>
        </w:tabs>
        <w:ind w:left="568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b) preço de </w:t>
      </w:r>
      <w:r w:rsidRPr="001E40BA">
        <w:t>referência</w:t>
      </w:r>
      <w:r w:rsidRPr="001E40BA">
        <w:rPr>
          <w:rFonts w:eastAsia="MS Mincho"/>
        </w:rPr>
        <w:t>: os constantes na seção Atividade Pesqueira e Aquícola deste manual;</w:t>
      </w:r>
    </w:p>
    <w:p w14:paraId="7062C07A" w14:textId="77777777" w:rsidR="007D728D" w:rsidRPr="001E40BA" w:rsidRDefault="007D728D" w:rsidP="004F4FB2">
      <w:pPr>
        <w:tabs>
          <w:tab w:val="right" w:pos="9923"/>
        </w:tabs>
        <w:ind w:left="568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c) prazo de </w:t>
      </w:r>
      <w:r w:rsidRPr="001E40BA">
        <w:t>reembolso</w:t>
      </w:r>
      <w:r w:rsidRPr="001E40BA">
        <w:rPr>
          <w:rFonts w:eastAsia="MS Mincho"/>
        </w:rPr>
        <w:t>: até 240 (duzentos e quarenta) dias;</w:t>
      </w:r>
    </w:p>
    <w:p w14:paraId="177EF8F1" w14:textId="77777777" w:rsidR="007D728D" w:rsidRPr="001E40BA" w:rsidRDefault="007D728D" w:rsidP="004F4FB2">
      <w:pPr>
        <w:tabs>
          <w:tab w:val="right" w:pos="9923"/>
        </w:tabs>
        <w:ind w:left="568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d) para fins de </w:t>
      </w:r>
      <w:r w:rsidRPr="001E40BA">
        <w:t>comprovação</w:t>
      </w:r>
      <w:r w:rsidRPr="001E40BA">
        <w:rPr>
          <w:rFonts w:eastAsia="MS Mincho"/>
        </w:rPr>
        <w:t xml:space="preserve"> do valor financiado, devem-se observar as seguintes condições:</w:t>
      </w:r>
    </w:p>
    <w:p w14:paraId="7D20E953" w14:textId="77777777" w:rsidR="007D728D" w:rsidRPr="001E40BA" w:rsidRDefault="007D728D" w:rsidP="004F4FB2">
      <w:pPr>
        <w:tabs>
          <w:tab w:val="right" w:pos="9923"/>
        </w:tabs>
        <w:ind w:left="851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I - </w:t>
      </w:r>
      <w:proofErr w:type="gramStart"/>
      <w:r w:rsidRPr="001E40BA">
        <w:rPr>
          <w:rFonts w:eastAsia="MS Mincho"/>
        </w:rPr>
        <w:t>independentemente</w:t>
      </w:r>
      <w:proofErr w:type="gramEnd"/>
      <w:r w:rsidRPr="001E40BA">
        <w:rPr>
          <w:rFonts w:eastAsia="MS Mincho"/>
        </w:rPr>
        <w:t xml:space="preserve"> do </w:t>
      </w:r>
      <w:r w:rsidRPr="001E40BA">
        <w:t>número</w:t>
      </w:r>
      <w:r w:rsidRPr="001E40BA">
        <w:rPr>
          <w:rFonts w:eastAsia="MS Mincho"/>
        </w:rPr>
        <w:t xml:space="preserve"> de operações efetuadas, os valores apresentados nos comprovantes representativos das despesas realizadas pelo mutuário devem observar o limite definido para o Financiamento Especial para Estocagem de Produtos Agropecuários (FEE) e para o desconto de Duplicata Rural (DR) e Nota Promissória Rural (NPR), por produtor e instituição financeira;</w:t>
      </w:r>
    </w:p>
    <w:p w14:paraId="72A402B2" w14:textId="77777777" w:rsidR="007D728D" w:rsidRPr="001E40BA" w:rsidRDefault="007D728D" w:rsidP="004F4FB2">
      <w:pPr>
        <w:tabs>
          <w:tab w:val="right" w:pos="9923"/>
        </w:tabs>
        <w:ind w:left="851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II - é vedada a </w:t>
      </w:r>
      <w:r w:rsidRPr="001E40BA">
        <w:t>utilização</w:t>
      </w:r>
      <w:r w:rsidRPr="001E40BA">
        <w:rPr>
          <w:rFonts w:eastAsia="MS Mincho"/>
        </w:rPr>
        <w:t xml:space="preserve"> da mesma nota fiscal de aquisição do produto para fins de comprovação de diferentes operações em uma ou mais instituições financeiras;</w:t>
      </w:r>
    </w:p>
    <w:p w14:paraId="19085616" w14:textId="77777777" w:rsidR="007D728D" w:rsidRPr="001E40BA" w:rsidRDefault="007D728D" w:rsidP="004F4FB2">
      <w:pPr>
        <w:tabs>
          <w:tab w:val="right" w:pos="9923"/>
        </w:tabs>
        <w:ind w:left="851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III - o mutuário deve </w:t>
      </w:r>
      <w:r w:rsidRPr="001E40BA">
        <w:t>apresentar</w:t>
      </w:r>
      <w:r w:rsidRPr="001E40BA">
        <w:rPr>
          <w:rFonts w:eastAsia="MS Mincho"/>
        </w:rPr>
        <w:t xml:space="preserve"> à instituição financeira declaração de que cumpriu as condições estabelecidas neste item;</w:t>
      </w:r>
    </w:p>
    <w:p w14:paraId="6FDB415D" w14:textId="77777777" w:rsidR="007D728D" w:rsidRPr="001E40BA" w:rsidRDefault="007D728D" w:rsidP="004F4FB2">
      <w:pPr>
        <w:tabs>
          <w:tab w:val="right" w:pos="9923"/>
        </w:tabs>
        <w:ind w:left="851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IV - </w:t>
      </w:r>
      <w:proofErr w:type="gramStart"/>
      <w:r w:rsidRPr="001E40BA">
        <w:rPr>
          <w:rFonts w:eastAsia="MS Mincho"/>
        </w:rPr>
        <w:t>o</w:t>
      </w:r>
      <w:proofErr w:type="gramEnd"/>
      <w:r w:rsidRPr="001E40BA">
        <w:rPr>
          <w:rFonts w:eastAsia="MS Mincho"/>
        </w:rPr>
        <w:t xml:space="preserve"> limite adquirido de cada produtor rural e o limite individual aplicável aos créditos de comercialização tomados diretamente pelo produtor rural são independentes entre si;</w:t>
      </w:r>
    </w:p>
    <w:p w14:paraId="6647D021" w14:textId="49676F8A" w:rsidR="007D728D" w:rsidRPr="00FE0E67" w:rsidRDefault="007D728D" w:rsidP="004F4FB2">
      <w:pPr>
        <w:tabs>
          <w:tab w:val="right" w:pos="9923"/>
        </w:tabs>
        <w:ind w:left="851" w:hanging="284"/>
        <w:jc w:val="both"/>
        <w:rPr>
          <w:rFonts w:eastAsia="MS Mincho"/>
        </w:rPr>
      </w:pPr>
      <w:r w:rsidRPr="001E40BA">
        <w:rPr>
          <w:rFonts w:eastAsia="MS Mincho"/>
        </w:rPr>
        <w:t xml:space="preserve">V - é permitido que mais </w:t>
      </w:r>
      <w:r w:rsidRPr="001E40BA">
        <w:t>de</w:t>
      </w:r>
      <w:r w:rsidRPr="001E40BA">
        <w:rPr>
          <w:rFonts w:eastAsia="MS Mincho"/>
        </w:rPr>
        <w:t xml:space="preserve"> um mutuário do crédito de que trata este item adquira a produção de um mesmo produtor rural, observados os limites por produtor previstos para o FEE e para o desconto de DR e NPR.</w:t>
      </w:r>
    </w:p>
    <w:p w14:paraId="0853CA47" w14:textId="77777777" w:rsidR="00992C00" w:rsidRDefault="00992C00" w:rsidP="004F4FB2">
      <w:pPr>
        <w:tabs>
          <w:tab w:val="right" w:pos="9923"/>
        </w:tabs>
        <w:rPr>
          <w:rFonts w:eastAsia="MS Mincho"/>
        </w:rPr>
      </w:pPr>
    </w:p>
    <w:sectPr w:rsidR="00992C00" w:rsidSect="00A0733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0040" w14:textId="77777777" w:rsidR="00F54DED" w:rsidRDefault="00F54DED">
      <w:r>
        <w:separator/>
      </w:r>
    </w:p>
  </w:endnote>
  <w:endnote w:type="continuationSeparator" w:id="0">
    <w:p w14:paraId="17CB3B31" w14:textId="77777777" w:rsidR="00F54DED" w:rsidRDefault="00F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C037" w14:textId="77777777" w:rsidR="00D74F9F" w:rsidRDefault="00D74F9F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0C14BB93" w14:textId="77777777" w:rsidR="00D74F9F" w:rsidRDefault="006C163D">
    <w:pPr>
      <w:pStyle w:val="Rodap"/>
    </w:pPr>
    <w:r>
      <w:t>Atualização MCR 554, de 26 de novembro de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D51C" w14:textId="77777777" w:rsidR="00A0733D" w:rsidRDefault="00A0733D" w:rsidP="00A0733D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3F4C5290" w14:textId="49564E77" w:rsidR="00A0733D" w:rsidRDefault="007A0539">
    <w:pPr>
      <w:pStyle w:val="Rodap"/>
    </w:pPr>
    <w:r w:rsidRPr="007A0539">
      <w:t>Atualização MCR nº 708, de 11 de julho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2F21" w14:textId="77777777" w:rsidR="00F54DED" w:rsidRDefault="00F54DED">
      <w:r>
        <w:separator/>
      </w:r>
    </w:p>
  </w:footnote>
  <w:footnote w:type="continuationSeparator" w:id="0">
    <w:p w14:paraId="5BED8A65" w14:textId="77777777" w:rsidR="00F54DED" w:rsidRDefault="00F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46F3" w14:textId="77777777" w:rsidR="00D74F9F" w:rsidRDefault="00D74F9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907A12F" w14:textId="77777777" w:rsidR="00D74F9F" w:rsidRDefault="00D74F9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1123" w14:textId="77777777" w:rsidR="00D74F9F" w:rsidRDefault="00D74F9F" w:rsidP="00BE1269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0733D">
      <w:rPr>
        <w:noProof/>
      </w:rPr>
      <w:t>1</w:t>
    </w:r>
    <w:r>
      <w:fldChar w:fldCharType="end"/>
    </w:r>
  </w:p>
  <w:p w14:paraId="13D6585D" w14:textId="77777777" w:rsidR="00D74F9F" w:rsidRDefault="00D74F9F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Finalidades Especiais - 4</w:t>
    </w:r>
  </w:p>
  <w:p w14:paraId="2108A9F3" w14:textId="77777777" w:rsidR="00D74F9F" w:rsidRDefault="009700B7" w:rsidP="009700B7">
    <w:pPr>
      <w:pStyle w:val="TextosemFormatao"/>
      <w:tabs>
        <w:tab w:val="left" w:pos="992"/>
        <w:tab w:val="right" w:pos="9923"/>
      </w:tabs>
      <w:jc w:val="left"/>
      <w:rPr>
        <w:rFonts w:ascii="Times New Roman" w:hAnsi="Times New Roman"/>
      </w:rPr>
    </w:pPr>
    <w:r>
      <w:rPr>
        <w:rFonts w:ascii="Times New Roman" w:hAnsi="Times New Roman"/>
      </w:rPr>
      <w:t>SEÇÃO</w:t>
    </w:r>
    <w:r>
      <w:rPr>
        <w:rFonts w:ascii="Times New Roman" w:hAnsi="Times New Roman"/>
      </w:rPr>
      <w:tab/>
    </w:r>
    <w:r w:rsidR="00D74F9F">
      <w:rPr>
        <w:rFonts w:ascii="Times New Roman" w:hAnsi="Times New Roman"/>
      </w:rPr>
      <w:t xml:space="preserve">: </w:t>
    </w:r>
    <w:r w:rsidR="00992C00" w:rsidRPr="00992C00">
      <w:rPr>
        <w:rFonts w:ascii="Times New Roman" w:hAnsi="Times New Roman"/>
      </w:rPr>
      <w:t>Normas Transitórias</w:t>
    </w:r>
    <w:r w:rsidR="00D74F9F">
      <w:rPr>
        <w:rFonts w:ascii="Times New Roman" w:hAnsi="Times New Roman"/>
      </w:rPr>
      <w:t xml:space="preserve"> </w:t>
    </w:r>
    <w:r w:rsidR="00992C00">
      <w:rPr>
        <w:rFonts w:ascii="Times New Roman" w:hAnsi="Times New Roman"/>
      </w:rPr>
      <w:t>-</w:t>
    </w:r>
    <w:r w:rsidR="00D74F9F">
      <w:rPr>
        <w:rFonts w:ascii="Times New Roman" w:hAnsi="Times New Roman"/>
      </w:rPr>
      <w:t xml:space="preserve"> 6</w:t>
    </w:r>
  </w:p>
  <w:p w14:paraId="646C91A9" w14:textId="77777777" w:rsidR="00D74F9F" w:rsidRDefault="00D74F9F">
    <w:pPr>
      <w:pStyle w:val="Cabealho"/>
      <w:tabs>
        <w:tab w:val="clear" w:pos="4419"/>
        <w:tab w:val="clear" w:pos="8838"/>
        <w:tab w:val="left" w:pos="993"/>
        <w:tab w:val="right" w:pos="9639"/>
        <w:tab w:val="right" w:pos="10064"/>
      </w:tabs>
      <w:jc w:val="both"/>
    </w:pPr>
    <w:r>
      <w:t>_____________________________________________________________________________________________</w:t>
    </w:r>
  </w:p>
  <w:p w14:paraId="341CFE0D" w14:textId="77777777" w:rsidR="00D74F9F" w:rsidRDefault="00D74F9F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748"/>
    <w:multiLevelType w:val="multilevel"/>
    <w:tmpl w:val="7C622D44"/>
    <w:lvl w:ilvl="0">
      <w:start w:val="1"/>
      <w:numFmt w:val="none"/>
      <w:pStyle w:val="CorpoAlterao"/>
      <w:suff w:val="nothing"/>
      <w:lvlText w:val="&quot;%1"/>
      <w:lvlJc w:val="left"/>
      <w:pPr>
        <w:ind w:left="737" w:firstLine="681"/>
      </w:pPr>
      <w:rPr>
        <w:rFonts w:hint="default"/>
      </w:rPr>
    </w:lvl>
    <w:lvl w:ilvl="1">
      <w:start w:val="1"/>
      <w:numFmt w:val="ordinal"/>
      <w:lvlRestart w:val="0"/>
      <w:suff w:val="nothing"/>
      <w:lvlText w:val="§ %2"/>
      <w:lvlJc w:val="left"/>
      <w:pPr>
        <w:ind w:left="737" w:firstLine="681"/>
      </w:pPr>
    </w:lvl>
    <w:lvl w:ilvl="2">
      <w:start w:val="1"/>
      <w:numFmt w:val="upperRoman"/>
      <w:lvlRestart w:val="0"/>
      <w:suff w:val="nothing"/>
      <w:lvlText w:val="%3 - "/>
      <w:lvlJc w:val="left"/>
      <w:pPr>
        <w:ind w:left="737" w:firstLine="681"/>
      </w:pPr>
      <w:rPr>
        <w:rFonts w:hint="default"/>
      </w:rPr>
    </w:lvl>
    <w:lvl w:ilvl="3">
      <w:start w:val="1"/>
      <w:numFmt w:val="lowerLetter"/>
      <w:lvlRestart w:val="0"/>
      <w:suff w:val="nothing"/>
      <w:lvlText w:val="%4) "/>
      <w:lvlJc w:val="left"/>
      <w:pPr>
        <w:ind w:left="737" w:firstLine="681"/>
      </w:pPr>
    </w:lvl>
    <w:lvl w:ilvl="4">
      <w:start w:val="1"/>
      <w:numFmt w:val="decimal"/>
      <w:lvlRestart w:val="0"/>
      <w:suff w:val="nothing"/>
      <w:lvlText w:val="%5. "/>
      <w:lvlJc w:val="left"/>
      <w:pPr>
        <w:ind w:left="737" w:firstLine="681"/>
      </w:pPr>
    </w:lvl>
    <w:lvl w:ilvl="5">
      <w:start w:val="1"/>
      <w:numFmt w:val="none"/>
      <w:lvlRestart w:val="0"/>
      <w:lvlText w:val="%1"/>
      <w:lvlJc w:val="left"/>
      <w:pPr>
        <w:tabs>
          <w:tab w:val="num" w:pos="1778"/>
        </w:tabs>
        <w:ind w:left="737" w:firstLine="681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963A22"/>
    <w:multiLevelType w:val="multilevel"/>
    <w:tmpl w:val="5FCEF072"/>
    <w:lvl w:ilvl="0">
      <w:start w:val="1"/>
      <w:numFmt w:val="ordinal"/>
      <w:pStyle w:val="Corpo"/>
      <w:suff w:val="nothing"/>
      <w:lvlText w:val="Art. %1"/>
      <w:lvlJc w:val="left"/>
      <w:pPr>
        <w:ind w:left="0" w:firstLine="1418"/>
      </w:pPr>
      <w:rPr>
        <w:rFonts w:hint="default"/>
      </w:rPr>
    </w:lvl>
    <w:lvl w:ilvl="1">
      <w:start w:val="1"/>
      <w:numFmt w:val="ordinal"/>
      <w:suff w:val="nothing"/>
      <w:lvlText w:val="§ %2"/>
      <w:lvlJc w:val="left"/>
      <w:pPr>
        <w:ind w:left="0" w:firstLine="1418"/>
      </w:pPr>
      <w:rPr>
        <w:rFonts w:hint="default"/>
      </w:rPr>
    </w:lvl>
    <w:lvl w:ilvl="2">
      <w:start w:val="1"/>
      <w:numFmt w:val="upperRoman"/>
      <w:suff w:val="nothing"/>
      <w:lvlText w:val="%3 - "/>
      <w:lvlJc w:val="left"/>
      <w:pPr>
        <w:ind w:left="0" w:firstLine="1418"/>
      </w:pPr>
      <w:rPr>
        <w:rFonts w:hint="default"/>
      </w:rPr>
    </w:lvl>
    <w:lvl w:ilvl="3">
      <w:start w:val="1"/>
      <w:numFmt w:val="lowerLetter"/>
      <w:suff w:val="nothing"/>
      <w:lvlText w:val="%4) "/>
      <w:lvlJc w:val="left"/>
      <w:pPr>
        <w:ind w:left="0" w:firstLine="1418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0" w:firstLine="1418"/>
      </w:pPr>
      <w:rPr>
        <w:rFonts w:hint="default"/>
      </w:rPr>
    </w:lvl>
    <w:lvl w:ilvl="5">
      <w:start w:val="1"/>
      <w:numFmt w:val="none"/>
      <w:suff w:val="nothing"/>
      <w:lvlText w:val="Parágrafo único. "/>
      <w:lvlJc w:val="left"/>
      <w:pPr>
        <w:ind w:left="0" w:firstLine="141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141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0"/>
      <w:numFmt w:val="decimal"/>
      <w:suff w:val="nothing"/>
      <w:lvlText w:val="Art.  %9."/>
      <w:lvlJc w:val="left"/>
      <w:pPr>
        <w:ind w:left="0" w:firstLine="1418"/>
      </w:pPr>
      <w:rPr>
        <w:rFonts w:hint="default"/>
      </w:rPr>
    </w:lvl>
  </w:abstractNum>
  <w:abstractNum w:abstractNumId="2" w15:restartNumberingAfterBreak="0">
    <w:nsid w:val="0C070EBC"/>
    <w:multiLevelType w:val="singleLevel"/>
    <w:tmpl w:val="1006378A"/>
    <w:lvl w:ilvl="0">
      <w:start w:val="1"/>
      <w:numFmt w:val="none"/>
      <w:pStyle w:val="Epgrafe"/>
      <w:lvlText w:val="RESOLUÇÃO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6C95E35"/>
    <w:multiLevelType w:val="multilevel"/>
    <w:tmpl w:val="792E42A8"/>
    <w:lvl w:ilvl="0">
      <w:start w:val="1"/>
      <w:numFmt w:val="none"/>
      <w:pStyle w:val="LocalDataPE"/>
      <w:lvlText w:val="Recife, 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63543"/>
    <w:multiLevelType w:val="multilevel"/>
    <w:tmpl w:val="14741E20"/>
    <w:lvl w:ilvl="0">
      <w:start w:val="1"/>
      <w:numFmt w:val="none"/>
      <w:pStyle w:val="LocalDataRJ"/>
      <w:lvlText w:val="Rio de Janeiro, 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E34AC"/>
    <w:multiLevelType w:val="multilevel"/>
    <w:tmpl w:val="35DA3428"/>
    <w:lvl w:ilvl="0">
      <w:start w:val="1"/>
      <w:numFmt w:val="none"/>
      <w:pStyle w:val="OrdemResolveu"/>
      <w:lvlText w:val="R E S O L V E U: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378"/>
    <w:multiLevelType w:val="multilevel"/>
    <w:tmpl w:val="7A188470"/>
    <w:lvl w:ilvl="0">
      <w:start w:val="1"/>
      <w:numFmt w:val="decimal"/>
      <w:pStyle w:val="Artigo"/>
      <w:suff w:val="nothing"/>
      <w:lvlText w:val="Art. %1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FF2759"/>
    <w:multiLevelType w:val="multilevel"/>
    <w:tmpl w:val="FBDCECDC"/>
    <w:lvl w:ilvl="0">
      <w:start w:val="1"/>
      <w:numFmt w:val="none"/>
      <w:pStyle w:val="OrdemResolve"/>
      <w:lvlText w:val="R E S O L V E: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C1A7C"/>
    <w:multiLevelType w:val="multilevel"/>
    <w:tmpl w:val="B76C393E"/>
    <w:lvl w:ilvl="0">
      <w:start w:val="1"/>
      <w:numFmt w:val="none"/>
      <w:pStyle w:val="CorpoAlterao2"/>
      <w:suff w:val="nothing"/>
      <w:lvlText w:val="%1"/>
      <w:lvlJc w:val="left"/>
      <w:pPr>
        <w:ind w:left="737" w:firstLine="681"/>
      </w:pPr>
      <w:rPr>
        <w:rFonts w:hint="default"/>
      </w:rPr>
    </w:lvl>
    <w:lvl w:ilvl="1">
      <w:start w:val="1"/>
      <w:numFmt w:val="ordinal"/>
      <w:lvlRestart w:val="0"/>
      <w:suff w:val="nothing"/>
      <w:lvlText w:val="§  %2"/>
      <w:lvlJc w:val="left"/>
      <w:pPr>
        <w:ind w:left="737" w:firstLine="681"/>
      </w:pPr>
    </w:lvl>
    <w:lvl w:ilvl="2">
      <w:start w:val="1"/>
      <w:numFmt w:val="upperRoman"/>
      <w:lvlRestart w:val="0"/>
      <w:suff w:val="nothing"/>
      <w:lvlText w:val="%3 - "/>
      <w:lvlJc w:val="left"/>
      <w:pPr>
        <w:ind w:left="737" w:firstLine="681"/>
      </w:pPr>
      <w:rPr>
        <w:rFonts w:hint="default"/>
      </w:rPr>
    </w:lvl>
    <w:lvl w:ilvl="3">
      <w:start w:val="1"/>
      <w:numFmt w:val="lowerLetter"/>
      <w:lvlRestart w:val="0"/>
      <w:suff w:val="nothing"/>
      <w:lvlText w:val="%4) "/>
      <w:lvlJc w:val="left"/>
      <w:pPr>
        <w:ind w:left="737" w:firstLine="681"/>
      </w:pPr>
    </w:lvl>
    <w:lvl w:ilvl="4">
      <w:start w:val="1"/>
      <w:numFmt w:val="decimal"/>
      <w:lvlRestart w:val="0"/>
      <w:suff w:val="nothing"/>
      <w:lvlText w:val="%5. "/>
      <w:lvlJc w:val="left"/>
      <w:pPr>
        <w:ind w:left="737" w:firstLine="681"/>
      </w:pPr>
    </w:lvl>
    <w:lvl w:ilvl="5">
      <w:start w:val="1"/>
      <w:numFmt w:val="decimal"/>
      <w:lvlRestart w:val="0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7D72370"/>
    <w:multiLevelType w:val="singleLevel"/>
    <w:tmpl w:val="74C06612"/>
    <w:lvl w:ilvl="0">
      <w:start w:val="1"/>
      <w:numFmt w:val="none"/>
      <w:pStyle w:val="Vocativo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90613A0"/>
    <w:multiLevelType w:val="multilevel"/>
    <w:tmpl w:val="008086C8"/>
    <w:lvl w:ilvl="0">
      <w:start w:val="1"/>
      <w:numFmt w:val="none"/>
      <w:pStyle w:val="LocalDataDF"/>
      <w:lvlText w:val="Brasília,  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F1387"/>
    <w:multiLevelType w:val="singleLevel"/>
    <w:tmpl w:val="27AA22E0"/>
    <w:lvl w:ilvl="0">
      <w:start w:val="1"/>
      <w:numFmt w:val="none"/>
      <w:pStyle w:val="EpgrafeComunicao"/>
      <w:lvlText w:val="Comunicação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</w:abstractNum>
  <w:abstractNum w:abstractNumId="12" w15:restartNumberingAfterBreak="0">
    <w:nsid w:val="444E24AC"/>
    <w:multiLevelType w:val="multilevel"/>
    <w:tmpl w:val="A6CED59E"/>
    <w:lvl w:ilvl="0">
      <w:start w:val="1"/>
      <w:numFmt w:val="none"/>
      <w:pStyle w:val="LocalDataCE"/>
      <w:lvlText w:val="%1Fortaleza, 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903EE"/>
    <w:multiLevelType w:val="multilevel"/>
    <w:tmpl w:val="5B149976"/>
    <w:lvl w:ilvl="0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11781"/>
    <w:multiLevelType w:val="multilevel"/>
    <w:tmpl w:val="2340A4C4"/>
    <w:lvl w:ilvl="0">
      <w:start w:val="1"/>
      <w:numFmt w:val="none"/>
      <w:pStyle w:val="LocalDataRS"/>
      <w:lvlText w:val="Porto Alegre,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838AE"/>
    <w:multiLevelType w:val="singleLevel"/>
    <w:tmpl w:val="78A26568"/>
    <w:lvl w:ilvl="0">
      <w:start w:val="1"/>
      <w:numFmt w:val="none"/>
      <w:pStyle w:val="LocalDataBA"/>
      <w:lvlText w:val="Salvador, "/>
      <w:lvlJc w:val="left"/>
      <w:pPr>
        <w:tabs>
          <w:tab w:val="num" w:pos="1080"/>
        </w:tabs>
        <w:ind w:left="-4536" w:firstLine="453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5E7C1451"/>
    <w:multiLevelType w:val="multilevel"/>
    <w:tmpl w:val="CC3463F4"/>
    <w:lvl w:ilvl="0">
      <w:numFmt w:val="none"/>
      <w:pStyle w:val="OrdemDecidiu"/>
      <w:suff w:val="space"/>
      <w:lvlText w:val="%1D E C I D I U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3969" w:hanging="397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328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600A3D1F"/>
    <w:multiLevelType w:val="multilevel"/>
    <w:tmpl w:val="F9864FFA"/>
    <w:lvl w:ilvl="0">
      <w:start w:val="1"/>
      <w:numFmt w:val="none"/>
      <w:pStyle w:val="Seo"/>
      <w:suff w:val="space"/>
      <w:lvlText w:val="SEÇÃO      :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13F35"/>
    <w:multiLevelType w:val="multilevel"/>
    <w:tmpl w:val="D7186A36"/>
    <w:lvl w:ilvl="0">
      <w:start w:val="1"/>
      <w:numFmt w:val="none"/>
      <w:pStyle w:val="Ttulo29"/>
      <w:suff w:val="space"/>
      <w:lvlText w:val="TÍTULO     :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A4518"/>
    <w:multiLevelType w:val="multilevel"/>
    <w:tmpl w:val="618812E4"/>
    <w:lvl w:ilvl="0">
      <w:start w:val="1"/>
      <w:numFmt w:val="none"/>
      <w:pStyle w:val="Captulo"/>
      <w:suff w:val="space"/>
      <w:lvlText w:val="CAPÍTULO: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24C29"/>
    <w:multiLevelType w:val="multilevel"/>
    <w:tmpl w:val="530E9FFA"/>
    <w:lvl w:ilvl="0">
      <w:start w:val="1"/>
      <w:numFmt w:val="ordinal"/>
      <w:lvlText w:val="Art. %1"/>
      <w:lvlJc w:val="left"/>
      <w:pPr>
        <w:tabs>
          <w:tab w:val="num" w:pos="2858"/>
        </w:tabs>
        <w:ind w:left="0" w:firstLine="1418"/>
      </w:pPr>
    </w:lvl>
    <w:lvl w:ilvl="1">
      <w:start w:val="1"/>
      <w:numFmt w:val="none"/>
      <w:pStyle w:val="Ttulo4"/>
      <w:isLgl/>
      <w:suff w:val="nothing"/>
      <w:lvlText w:val="%1"/>
      <w:lvlJc w:val="center"/>
      <w:pPr>
        <w:ind w:left="0" w:firstLine="1701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6A723E4"/>
    <w:multiLevelType w:val="multilevel"/>
    <w:tmpl w:val="76062C2C"/>
    <w:lvl w:ilvl="0">
      <w:start w:val="1"/>
      <w:numFmt w:val="none"/>
      <w:pStyle w:val="LocalDataPR"/>
      <w:lvlText w:val="Curitiba,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2D76BB"/>
    <w:multiLevelType w:val="singleLevel"/>
    <w:tmpl w:val="BEA41144"/>
    <w:lvl w:ilvl="0">
      <w:start w:val="1"/>
      <w:numFmt w:val="none"/>
      <w:pStyle w:val="LocalDataMG"/>
      <w:lvlText w:val="Belo Horizonte,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7F424DB0"/>
    <w:multiLevelType w:val="multilevel"/>
    <w:tmpl w:val="DAE8B522"/>
    <w:lvl w:ilvl="0">
      <w:start w:val="1"/>
      <w:numFmt w:val="none"/>
      <w:pStyle w:val="LocalDataPA"/>
      <w:lvlText w:val="Belém, 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158849">
    <w:abstractNumId w:val="20"/>
  </w:num>
  <w:num w:numId="2" w16cid:durableId="1277177377">
    <w:abstractNumId w:val="6"/>
  </w:num>
  <w:num w:numId="3" w16cid:durableId="335619460">
    <w:abstractNumId w:val="18"/>
  </w:num>
  <w:num w:numId="4" w16cid:durableId="2090074445">
    <w:abstractNumId w:val="19"/>
  </w:num>
  <w:num w:numId="5" w16cid:durableId="318658306">
    <w:abstractNumId w:val="17"/>
  </w:num>
  <w:num w:numId="6" w16cid:durableId="506791644">
    <w:abstractNumId w:val="13"/>
  </w:num>
  <w:num w:numId="7" w16cid:durableId="1303846852">
    <w:abstractNumId w:val="1"/>
  </w:num>
  <w:num w:numId="8" w16cid:durableId="2001076392">
    <w:abstractNumId w:val="0"/>
  </w:num>
  <w:num w:numId="9" w16cid:durableId="1613780368">
    <w:abstractNumId w:val="8"/>
  </w:num>
  <w:num w:numId="10" w16cid:durableId="207844578">
    <w:abstractNumId w:val="15"/>
  </w:num>
  <w:num w:numId="11" w16cid:durableId="1366636117">
    <w:abstractNumId w:val="12"/>
  </w:num>
  <w:num w:numId="12" w16cid:durableId="681594386">
    <w:abstractNumId w:val="10"/>
  </w:num>
  <w:num w:numId="13" w16cid:durableId="1891185159">
    <w:abstractNumId w:val="22"/>
  </w:num>
  <w:num w:numId="14" w16cid:durableId="1535002369">
    <w:abstractNumId w:val="23"/>
  </w:num>
  <w:num w:numId="15" w16cid:durableId="2019575856">
    <w:abstractNumId w:val="3"/>
  </w:num>
  <w:num w:numId="16" w16cid:durableId="30880393">
    <w:abstractNumId w:val="21"/>
  </w:num>
  <w:num w:numId="17" w16cid:durableId="1529445899">
    <w:abstractNumId w:val="4"/>
  </w:num>
  <w:num w:numId="18" w16cid:durableId="1772116887">
    <w:abstractNumId w:val="14"/>
  </w:num>
  <w:num w:numId="19" w16cid:durableId="2132285994">
    <w:abstractNumId w:val="2"/>
  </w:num>
  <w:num w:numId="20" w16cid:durableId="878012762">
    <w:abstractNumId w:val="16"/>
  </w:num>
  <w:num w:numId="21" w16cid:durableId="2138570942">
    <w:abstractNumId w:val="7"/>
  </w:num>
  <w:num w:numId="22" w16cid:durableId="2053264969">
    <w:abstractNumId w:val="5"/>
  </w:num>
  <w:num w:numId="23" w16cid:durableId="1956669921">
    <w:abstractNumId w:val="9"/>
  </w:num>
  <w:num w:numId="24" w16cid:durableId="165032963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oNotTrackMoves/>
  <w:defaultTabStop w:val="720"/>
  <w:consecutiveHyphenLimit w:val="9"/>
  <w:hyphenationZone w:val="8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16C2"/>
    <w:rsid w:val="00035069"/>
    <w:rsid w:val="00046590"/>
    <w:rsid w:val="00071940"/>
    <w:rsid w:val="000D0FAC"/>
    <w:rsid w:val="000D2E32"/>
    <w:rsid w:val="001024AF"/>
    <w:rsid w:val="00151CFD"/>
    <w:rsid w:val="001B585C"/>
    <w:rsid w:val="001D3F2E"/>
    <w:rsid w:val="001E40BA"/>
    <w:rsid w:val="00243785"/>
    <w:rsid w:val="00253987"/>
    <w:rsid w:val="00261BF7"/>
    <w:rsid w:val="002922E9"/>
    <w:rsid w:val="00297BD0"/>
    <w:rsid w:val="002B5D27"/>
    <w:rsid w:val="002E0E02"/>
    <w:rsid w:val="003133EE"/>
    <w:rsid w:val="00325079"/>
    <w:rsid w:val="003371A4"/>
    <w:rsid w:val="00350135"/>
    <w:rsid w:val="00383543"/>
    <w:rsid w:val="003B5797"/>
    <w:rsid w:val="003B5987"/>
    <w:rsid w:val="00424098"/>
    <w:rsid w:val="004A16C2"/>
    <w:rsid w:val="004A5BD7"/>
    <w:rsid w:val="004C4100"/>
    <w:rsid w:val="004F4FB2"/>
    <w:rsid w:val="00505F6D"/>
    <w:rsid w:val="00507DE1"/>
    <w:rsid w:val="00525780"/>
    <w:rsid w:val="0055178D"/>
    <w:rsid w:val="00557803"/>
    <w:rsid w:val="0056059A"/>
    <w:rsid w:val="00580CD6"/>
    <w:rsid w:val="005E060F"/>
    <w:rsid w:val="005F6AFD"/>
    <w:rsid w:val="0060591E"/>
    <w:rsid w:val="006C163D"/>
    <w:rsid w:val="00700F5A"/>
    <w:rsid w:val="007108B8"/>
    <w:rsid w:val="00745A1E"/>
    <w:rsid w:val="00751D7E"/>
    <w:rsid w:val="0076510D"/>
    <w:rsid w:val="007A0539"/>
    <w:rsid w:val="007A684F"/>
    <w:rsid w:val="007D728D"/>
    <w:rsid w:val="00805A85"/>
    <w:rsid w:val="008128E1"/>
    <w:rsid w:val="00850FCD"/>
    <w:rsid w:val="00860665"/>
    <w:rsid w:val="0088245D"/>
    <w:rsid w:val="00922C18"/>
    <w:rsid w:val="009700B7"/>
    <w:rsid w:val="0098049D"/>
    <w:rsid w:val="00992C00"/>
    <w:rsid w:val="009F05ED"/>
    <w:rsid w:val="009F4929"/>
    <w:rsid w:val="00A0733D"/>
    <w:rsid w:val="00A21B87"/>
    <w:rsid w:val="00A250B3"/>
    <w:rsid w:val="00A52465"/>
    <w:rsid w:val="00A73CB7"/>
    <w:rsid w:val="00AB63F1"/>
    <w:rsid w:val="00AD24F0"/>
    <w:rsid w:val="00B00195"/>
    <w:rsid w:val="00B20CE3"/>
    <w:rsid w:val="00B56BFE"/>
    <w:rsid w:val="00B83590"/>
    <w:rsid w:val="00B868DE"/>
    <w:rsid w:val="00BE1269"/>
    <w:rsid w:val="00BF38B9"/>
    <w:rsid w:val="00BF42DB"/>
    <w:rsid w:val="00C1496A"/>
    <w:rsid w:val="00C14E02"/>
    <w:rsid w:val="00CA41AA"/>
    <w:rsid w:val="00CA45B1"/>
    <w:rsid w:val="00CA6D22"/>
    <w:rsid w:val="00D7258F"/>
    <w:rsid w:val="00D74F9F"/>
    <w:rsid w:val="00D75727"/>
    <w:rsid w:val="00E03EDD"/>
    <w:rsid w:val="00E17D9F"/>
    <w:rsid w:val="00EB24E3"/>
    <w:rsid w:val="00EE197E"/>
    <w:rsid w:val="00F3684F"/>
    <w:rsid w:val="00F54DED"/>
    <w:rsid w:val="00FD02C2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3AC89E4"/>
  <w15:chartTrackingRefBased/>
  <w15:docId w15:val="{4422AB82-0B10-49DC-A6C1-6A8ED56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18"/>
      </w:tabs>
      <w:spacing w:before="240" w:after="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1"/>
        <w:numId w:val="1"/>
      </w:numPr>
      <w:tabs>
        <w:tab w:val="left" w:pos="1418"/>
      </w:tabs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1418"/>
      </w:tabs>
      <w:spacing w:before="240" w:after="60"/>
      <w:jc w:val="both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EB24E3"/>
    <w:pPr>
      <w:tabs>
        <w:tab w:val="left" w:pos="1418"/>
      </w:tabs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left" w:pos="1418"/>
      </w:tabs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Artigo">
    <w:name w:val="Artigo"/>
    <w:basedOn w:val="parag"/>
    <w:autoRedefine/>
    <w:pPr>
      <w:numPr>
        <w:numId w:val="2"/>
      </w:numPr>
      <w:suppressLineNumbers/>
      <w:tabs>
        <w:tab w:val="clear" w:pos="1418"/>
        <w:tab w:val="left" w:pos="1701"/>
      </w:tabs>
      <w:spacing w:after="240"/>
    </w:pPr>
  </w:style>
  <w:style w:type="paragraph" w:customStyle="1" w:styleId="Captulo">
    <w:name w:val="Capítulo"/>
    <w:basedOn w:val="Normal"/>
    <w:next w:val="Seo"/>
    <w:pPr>
      <w:numPr>
        <w:numId w:val="4"/>
      </w:numPr>
      <w:ind w:right="284"/>
      <w:jc w:val="both"/>
    </w:pPr>
    <w:rPr>
      <w:sz w:val="24"/>
    </w:rPr>
  </w:style>
  <w:style w:type="paragraph" w:customStyle="1" w:styleId="Seo">
    <w:name w:val="Seção"/>
    <w:basedOn w:val="Normal"/>
    <w:next w:val="Linha"/>
    <w:pPr>
      <w:numPr>
        <w:numId w:val="5"/>
      </w:numPr>
      <w:ind w:right="284"/>
      <w:jc w:val="both"/>
    </w:pPr>
    <w:rPr>
      <w:sz w:val="24"/>
    </w:rPr>
  </w:style>
  <w:style w:type="paragraph" w:customStyle="1" w:styleId="Linha">
    <w:name w:val="Linha"/>
    <w:basedOn w:val="Normal"/>
    <w:next w:val="Normal"/>
    <w:pPr>
      <w:tabs>
        <w:tab w:val="right" w:leader="underscore" w:pos="10206"/>
      </w:tabs>
      <w:jc w:val="both"/>
    </w:pPr>
    <w:rPr>
      <w:sz w:val="24"/>
    </w:rPr>
  </w:style>
  <w:style w:type="paragraph" w:customStyle="1" w:styleId="Ttulo29">
    <w:name w:val="Título29"/>
    <w:basedOn w:val="Normal"/>
    <w:next w:val="Captulo"/>
    <w:pPr>
      <w:numPr>
        <w:numId w:val="3"/>
      </w:numPr>
      <w:ind w:right="284"/>
      <w:jc w:val="both"/>
    </w:pPr>
    <w:rPr>
      <w:sz w:val="24"/>
    </w:rPr>
  </w:style>
  <w:style w:type="paragraph" w:customStyle="1" w:styleId="Anexos">
    <w:name w:val="Anexos"/>
    <w:next w:val="Normal"/>
    <w:pPr>
      <w:numPr>
        <w:numId w:val="6"/>
      </w:numPr>
      <w:tabs>
        <w:tab w:val="clear" w:pos="1800"/>
      </w:tabs>
      <w:spacing w:before="360"/>
    </w:pPr>
    <w:rPr>
      <w:sz w:val="24"/>
    </w:rPr>
  </w:style>
  <w:style w:type="paragraph" w:customStyle="1" w:styleId="Corpo">
    <w:name w:val="Corpo"/>
    <w:basedOn w:val="Normal"/>
    <w:pPr>
      <w:numPr>
        <w:numId w:val="7"/>
      </w:numPr>
      <w:spacing w:after="240"/>
      <w:jc w:val="both"/>
      <w:outlineLvl w:val="0"/>
    </w:pPr>
    <w:rPr>
      <w:sz w:val="24"/>
    </w:rPr>
  </w:style>
  <w:style w:type="paragraph" w:customStyle="1" w:styleId="CorpoAlterao">
    <w:name w:val="CorpoAlteração"/>
    <w:basedOn w:val="Normal"/>
    <w:pPr>
      <w:numPr>
        <w:numId w:val="8"/>
      </w:numPr>
      <w:spacing w:after="240"/>
      <w:jc w:val="both"/>
      <w:outlineLvl w:val="0"/>
    </w:pPr>
    <w:rPr>
      <w:noProof/>
      <w:sz w:val="24"/>
    </w:rPr>
  </w:style>
  <w:style w:type="paragraph" w:customStyle="1" w:styleId="CorpoAlterao2">
    <w:name w:val="CorpoAlteração2"/>
    <w:basedOn w:val="CorpoAlterao"/>
    <w:pPr>
      <w:numPr>
        <w:numId w:val="9"/>
      </w:numPr>
      <w:tabs>
        <w:tab w:val="num" w:pos="360"/>
      </w:tabs>
    </w:pPr>
  </w:style>
  <w:style w:type="paragraph" w:customStyle="1" w:styleId="OrdemResolveu">
    <w:name w:val="OrdemResolveu"/>
    <w:next w:val="Corpo"/>
    <w:pPr>
      <w:numPr>
        <w:numId w:val="22"/>
      </w:numPr>
      <w:tabs>
        <w:tab w:val="clear" w:pos="2520"/>
      </w:tabs>
      <w:spacing w:after="240"/>
    </w:pPr>
    <w:rPr>
      <w:sz w:val="24"/>
    </w:rPr>
  </w:style>
  <w:style w:type="paragraph" w:customStyle="1" w:styleId="Epgrafe">
    <w:name w:val="Epígrafe"/>
    <w:next w:val="Ementa"/>
    <w:pPr>
      <w:widowControl w:val="0"/>
      <w:numPr>
        <w:numId w:val="19"/>
      </w:numPr>
      <w:tabs>
        <w:tab w:val="clear" w:pos="1800"/>
      </w:tabs>
      <w:spacing w:after="360"/>
      <w:jc w:val="center"/>
      <w:outlineLvl w:val="0"/>
    </w:pPr>
    <w:rPr>
      <w:noProof/>
      <w:sz w:val="24"/>
    </w:rPr>
  </w:style>
  <w:style w:type="paragraph" w:customStyle="1" w:styleId="Ementa">
    <w:name w:val="Ementa"/>
    <w:basedOn w:val="Normal"/>
    <w:next w:val="Intrito"/>
    <w:pPr>
      <w:spacing w:after="360"/>
      <w:ind w:left="5103"/>
      <w:jc w:val="both"/>
    </w:pPr>
    <w:rPr>
      <w:sz w:val="24"/>
    </w:rPr>
  </w:style>
  <w:style w:type="paragraph" w:customStyle="1" w:styleId="Intrito">
    <w:name w:val="Intróito"/>
    <w:basedOn w:val="Normal"/>
    <w:next w:val="OrdemResolveu"/>
    <w:pPr>
      <w:spacing w:after="240"/>
      <w:ind w:firstLine="1418"/>
      <w:jc w:val="both"/>
    </w:pPr>
    <w:rPr>
      <w:sz w:val="24"/>
    </w:rPr>
  </w:style>
  <w:style w:type="paragraph" w:customStyle="1" w:styleId="LocalDataDF">
    <w:name w:val="LocalDataDF"/>
    <w:next w:val="Normal"/>
    <w:pPr>
      <w:numPr>
        <w:numId w:val="12"/>
      </w:numPr>
      <w:tabs>
        <w:tab w:val="clear" w:pos="360"/>
      </w:tabs>
      <w:spacing w:before="360" w:after="600"/>
      <w:jc w:val="right"/>
      <w:outlineLvl w:val="0"/>
    </w:pPr>
    <w:rPr>
      <w:noProof/>
      <w:sz w:val="24"/>
    </w:rPr>
  </w:style>
  <w:style w:type="paragraph" w:customStyle="1" w:styleId="LocalDataRS">
    <w:name w:val="LocalDataRS"/>
    <w:basedOn w:val="LocalDataDF"/>
    <w:next w:val="Normal"/>
    <w:pPr>
      <w:numPr>
        <w:numId w:val="18"/>
      </w:numPr>
      <w:tabs>
        <w:tab w:val="clear" w:pos="1440"/>
        <w:tab w:val="num" w:pos="360"/>
      </w:tabs>
    </w:pPr>
  </w:style>
  <w:style w:type="paragraph" w:customStyle="1" w:styleId="LocalDataBA">
    <w:name w:val="LocalDataBA"/>
    <w:basedOn w:val="LocalDataRS"/>
    <w:next w:val="Normal"/>
    <w:pPr>
      <w:numPr>
        <w:numId w:val="10"/>
      </w:numPr>
      <w:tabs>
        <w:tab w:val="clear" w:pos="1080"/>
        <w:tab w:val="num" w:pos="360"/>
      </w:tabs>
      <w:ind w:left="0" w:firstLine="0"/>
    </w:pPr>
  </w:style>
  <w:style w:type="paragraph" w:customStyle="1" w:styleId="LocalDataCE">
    <w:name w:val="LocalDataCE"/>
    <w:next w:val="Normal"/>
    <w:pPr>
      <w:numPr>
        <w:numId w:val="11"/>
      </w:numPr>
      <w:tabs>
        <w:tab w:val="clear" w:pos="360"/>
      </w:tabs>
      <w:spacing w:before="360" w:after="600"/>
      <w:jc w:val="right"/>
      <w:outlineLvl w:val="0"/>
    </w:pPr>
    <w:rPr>
      <w:noProof/>
      <w:sz w:val="24"/>
    </w:rPr>
  </w:style>
  <w:style w:type="paragraph" w:customStyle="1" w:styleId="LocalDataMG">
    <w:name w:val="LocalDataMG"/>
    <w:basedOn w:val="LocalDataRS"/>
    <w:next w:val="Normal"/>
    <w:pPr>
      <w:numPr>
        <w:numId w:val="13"/>
      </w:numPr>
      <w:tabs>
        <w:tab w:val="clear" w:pos="1800"/>
        <w:tab w:val="num" w:pos="360"/>
      </w:tabs>
      <w:ind w:firstLine="5103"/>
    </w:pPr>
  </w:style>
  <w:style w:type="paragraph" w:customStyle="1" w:styleId="LocalDataPA">
    <w:name w:val="LocalDataPA"/>
    <w:next w:val="Normal"/>
    <w:pPr>
      <w:numPr>
        <w:numId w:val="14"/>
      </w:numPr>
      <w:tabs>
        <w:tab w:val="clear" w:pos="360"/>
      </w:tabs>
      <w:spacing w:before="360" w:after="600"/>
      <w:jc w:val="right"/>
    </w:pPr>
    <w:rPr>
      <w:sz w:val="24"/>
    </w:rPr>
  </w:style>
  <w:style w:type="paragraph" w:customStyle="1" w:styleId="LocalDataPE">
    <w:name w:val="LocalDataPE"/>
    <w:next w:val="Normal"/>
    <w:pPr>
      <w:numPr>
        <w:numId w:val="15"/>
      </w:numPr>
      <w:tabs>
        <w:tab w:val="clear" w:pos="360"/>
      </w:tabs>
      <w:spacing w:before="360" w:after="600"/>
      <w:jc w:val="right"/>
    </w:pPr>
    <w:rPr>
      <w:noProof/>
      <w:sz w:val="24"/>
    </w:rPr>
  </w:style>
  <w:style w:type="paragraph" w:customStyle="1" w:styleId="LocalDataPR">
    <w:name w:val="LocalDataPR"/>
    <w:next w:val="Normal"/>
    <w:pPr>
      <w:numPr>
        <w:numId w:val="16"/>
      </w:numPr>
      <w:tabs>
        <w:tab w:val="clear" w:pos="1080"/>
      </w:tabs>
      <w:spacing w:before="360" w:after="600"/>
      <w:jc w:val="right"/>
      <w:outlineLvl w:val="0"/>
    </w:pPr>
    <w:rPr>
      <w:noProof/>
      <w:sz w:val="24"/>
    </w:rPr>
  </w:style>
  <w:style w:type="paragraph" w:customStyle="1" w:styleId="LocalDataRJ">
    <w:name w:val="LocalDataRJ"/>
    <w:next w:val="Normal"/>
    <w:pPr>
      <w:numPr>
        <w:numId w:val="17"/>
      </w:numPr>
      <w:tabs>
        <w:tab w:val="clear" w:pos="360"/>
      </w:tabs>
      <w:spacing w:before="360" w:after="600"/>
      <w:jc w:val="right"/>
    </w:pPr>
    <w:rPr>
      <w:noProof/>
      <w:sz w:val="24"/>
    </w:rPr>
  </w:style>
  <w:style w:type="paragraph" w:customStyle="1" w:styleId="OrdemDecidiu">
    <w:name w:val="OrdemDecidiu"/>
    <w:basedOn w:val="Ementa"/>
    <w:next w:val="Corpo"/>
    <w:pPr>
      <w:numPr>
        <w:numId w:val="20"/>
      </w:numPr>
      <w:spacing w:after="240"/>
      <w:outlineLvl w:val="0"/>
    </w:pPr>
  </w:style>
  <w:style w:type="paragraph" w:customStyle="1" w:styleId="OrdemResolve">
    <w:name w:val="OrdemResolve"/>
    <w:next w:val="Corpo"/>
    <w:pPr>
      <w:numPr>
        <w:numId w:val="21"/>
      </w:numPr>
      <w:tabs>
        <w:tab w:val="clear" w:pos="2520"/>
      </w:tabs>
      <w:spacing w:after="240"/>
    </w:pPr>
    <w:rPr>
      <w:sz w:val="24"/>
    </w:rPr>
  </w:style>
  <w:style w:type="paragraph" w:customStyle="1" w:styleId="Vocativo">
    <w:name w:val="Vocativo"/>
    <w:pPr>
      <w:numPr>
        <w:numId w:val="23"/>
      </w:numPr>
      <w:jc w:val="both"/>
    </w:pPr>
    <w:rPr>
      <w:noProof/>
      <w:sz w:val="24"/>
    </w:rPr>
  </w:style>
  <w:style w:type="paragraph" w:customStyle="1" w:styleId="EpgrafeComunicao">
    <w:name w:val="EpígrafeComunicação"/>
    <w:basedOn w:val="Normal"/>
    <w:pPr>
      <w:numPr>
        <w:numId w:val="24"/>
      </w:numPr>
      <w:tabs>
        <w:tab w:val="clear" w:pos="1440"/>
      </w:tabs>
      <w:spacing w:before="1080" w:after="360"/>
      <w:jc w:val="both"/>
    </w:pPr>
    <w:rPr>
      <w:sz w:val="24"/>
    </w:rPr>
  </w:style>
  <w:style w:type="paragraph" w:customStyle="1" w:styleId="ementa0">
    <w:name w:val="ementa"/>
    <w:next w:val="Normal"/>
    <w:autoRedefine/>
    <w:pPr>
      <w:ind w:left="5103"/>
    </w:pPr>
    <w:rPr>
      <w:sz w:val="24"/>
    </w:rPr>
  </w:style>
  <w:style w:type="paragraph" w:customStyle="1" w:styleId="ttulo">
    <w:name w:val="título"/>
    <w:next w:val="ementa0"/>
    <w:autoRedefine/>
    <w:pPr>
      <w:jc w:val="center"/>
    </w:pPr>
    <w:rPr>
      <w:small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76510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510D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510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51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1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10D"/>
    <w:rPr>
      <w:rFonts w:ascii="Segoe UI" w:hAnsi="Segoe UI" w:cs="Segoe UI"/>
      <w:sz w:val="18"/>
      <w:szCs w:val="18"/>
    </w:rPr>
  </w:style>
  <w:style w:type="paragraph" w:customStyle="1" w:styleId="Paragrafo">
    <w:name w:val="Paragrafo"/>
    <w:basedOn w:val="Normal"/>
    <w:link w:val="ParagrafoChar"/>
    <w:qFormat/>
    <w:rsid w:val="00860665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860665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5223-8D01-4E15-B3B0-44927B5E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75</TotalTime>
  <Pages>1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Jordao Salino</cp:lastModifiedBy>
  <cp:revision>37</cp:revision>
  <cp:lastPrinted>2009-04-27T14:05:00Z</cp:lastPrinted>
  <dcterms:created xsi:type="dcterms:W3CDTF">2014-07-23T14:28:00Z</dcterms:created>
  <dcterms:modified xsi:type="dcterms:W3CDTF">2022-07-10T16:08:00Z</dcterms:modified>
</cp:coreProperties>
</file>