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C89DB" w14:textId="77777777" w:rsidR="00620B42" w:rsidRPr="00F00EE9" w:rsidRDefault="00620B42" w:rsidP="00620B42">
      <w:pPr>
        <w:pStyle w:val="Cabealho"/>
        <w:framePr w:wrap="around" w:vAnchor="text" w:hAnchor="margin" w:xAlign="right" w:y="1"/>
        <w:rPr>
          <w:rStyle w:val="Nmerodepgina"/>
        </w:rPr>
      </w:pPr>
      <w:r w:rsidRPr="00F00EE9">
        <w:rPr>
          <w:rStyle w:val="Nmerodepgina"/>
        </w:rPr>
        <w:fldChar w:fldCharType="begin"/>
      </w:r>
      <w:r w:rsidRPr="00F00EE9">
        <w:rPr>
          <w:rStyle w:val="Nmerodepgina"/>
        </w:rPr>
        <w:instrText xml:space="preserve">PAGE  </w:instrText>
      </w:r>
      <w:r w:rsidRPr="00F00EE9">
        <w:rPr>
          <w:rStyle w:val="Nmerodepgina"/>
        </w:rPr>
        <w:fldChar w:fldCharType="separate"/>
      </w:r>
      <w:r w:rsidRPr="00F00EE9">
        <w:rPr>
          <w:rStyle w:val="Nmerodepgina"/>
          <w:noProof/>
        </w:rPr>
        <w:t>1</w:t>
      </w:r>
      <w:r w:rsidRPr="00F00EE9">
        <w:rPr>
          <w:rStyle w:val="Nmerodepgina"/>
        </w:rPr>
        <w:fldChar w:fldCharType="end"/>
      </w:r>
    </w:p>
    <w:p w14:paraId="327175B8" w14:textId="77777777" w:rsidR="00620B42" w:rsidRPr="00F00EE9" w:rsidRDefault="00620B42" w:rsidP="00620B42">
      <w:pPr>
        <w:pStyle w:val="Cabealho"/>
        <w:tabs>
          <w:tab w:val="clear" w:pos="4419"/>
          <w:tab w:val="clear" w:pos="8838"/>
          <w:tab w:val="left" w:pos="993"/>
        </w:tabs>
        <w:ind w:left="1134" w:right="360" w:hanging="1134"/>
      </w:pPr>
      <w:r w:rsidRPr="00F00EE9">
        <w:t>TÍTULO</w:t>
      </w:r>
      <w:r w:rsidRPr="00F00EE9">
        <w:tab/>
        <w:t>: CRÉDITO RURAL</w:t>
      </w:r>
    </w:p>
    <w:p w14:paraId="45BDE18B" w14:textId="77777777" w:rsidR="00620B42" w:rsidRPr="00F00EE9" w:rsidRDefault="00620B42" w:rsidP="00620B42">
      <w:pPr>
        <w:pStyle w:val="Cabealho"/>
        <w:tabs>
          <w:tab w:val="clear" w:pos="4419"/>
          <w:tab w:val="clear" w:pos="8838"/>
          <w:tab w:val="left" w:pos="993"/>
        </w:tabs>
        <w:ind w:left="1134" w:hanging="1134"/>
      </w:pPr>
      <w:r w:rsidRPr="00F00EE9">
        <w:t>CAPÍTULO</w:t>
      </w:r>
      <w:r w:rsidRPr="00F00EE9">
        <w:tab/>
        <w:t>: Operações - 3</w:t>
      </w:r>
    </w:p>
    <w:p w14:paraId="20827933" w14:textId="6ABDE796" w:rsidR="00620B42" w:rsidRPr="00F00EE9" w:rsidRDefault="00620B42" w:rsidP="00620B42">
      <w:pPr>
        <w:pStyle w:val="Cabealho"/>
        <w:tabs>
          <w:tab w:val="clear" w:pos="4419"/>
          <w:tab w:val="clear" w:pos="8838"/>
          <w:tab w:val="left" w:pos="993"/>
          <w:tab w:val="right" w:pos="9923"/>
        </w:tabs>
        <w:ind w:left="1134" w:hanging="1134"/>
      </w:pPr>
      <w:r w:rsidRPr="00F00EE9">
        <w:t>SEÇÃO</w:t>
      </w:r>
      <w:r w:rsidRPr="00F00EE9">
        <w:tab/>
        <w:t xml:space="preserve">: </w:t>
      </w:r>
      <w:r w:rsidR="00ED5007" w:rsidRPr="00ED5007">
        <w:t>Contabilização e Controle</w:t>
      </w:r>
      <w:r w:rsidRPr="00F00EE9">
        <w:t xml:space="preserve"> </w:t>
      </w:r>
      <w:r w:rsidR="0004507E">
        <w:t>-</w:t>
      </w:r>
      <w:r w:rsidRPr="00F00EE9">
        <w:t xml:space="preserve"> 6</w:t>
      </w:r>
      <w:r w:rsidR="00DB1C3E">
        <w:tab/>
        <w:t>(*)</w:t>
      </w:r>
    </w:p>
    <w:p w14:paraId="48705BFD" w14:textId="77777777" w:rsidR="00620B42" w:rsidRPr="00F00EE9" w:rsidRDefault="00620B42" w:rsidP="00620B42">
      <w:pPr>
        <w:pStyle w:val="Cabealho"/>
        <w:tabs>
          <w:tab w:val="clear" w:pos="4419"/>
          <w:tab w:val="clear" w:pos="8838"/>
        </w:tabs>
      </w:pPr>
      <w:r w:rsidRPr="00F00EE9">
        <w:t>_____________________________________________________________________________________________</w:t>
      </w:r>
    </w:p>
    <w:p w14:paraId="1985D72C" w14:textId="77777777" w:rsidR="00620B42" w:rsidRPr="00F00EE9" w:rsidRDefault="00620B42" w:rsidP="00620B42">
      <w:pPr>
        <w:pStyle w:val="TextosemFormatao"/>
        <w:tabs>
          <w:tab w:val="right" w:pos="9923"/>
        </w:tabs>
        <w:rPr>
          <w:rFonts w:ascii="Times New Roman" w:hAnsi="Times New Roman"/>
        </w:rPr>
      </w:pPr>
    </w:p>
    <w:p w14:paraId="5C1C2A38" w14:textId="77777777" w:rsidR="00307B6F" w:rsidRPr="00307B6F" w:rsidRDefault="00293B65" w:rsidP="00307B6F">
      <w:pPr>
        <w:tabs>
          <w:tab w:val="right" w:pos="10064"/>
        </w:tabs>
        <w:spacing w:after="120"/>
        <w:ind w:left="284" w:hanging="284"/>
        <w:jc w:val="both"/>
      </w:pPr>
      <w:r w:rsidRPr="00307B6F">
        <w:t xml:space="preserve">1 - </w:t>
      </w:r>
      <w:r w:rsidR="00307B6F" w:rsidRPr="00307B6F">
        <w:t xml:space="preserve">O crédito rural deve ter registro distinto na contabilidade da instituição financeira, segundo suas características, conforme disposições desta Seção. </w:t>
      </w:r>
    </w:p>
    <w:p w14:paraId="3F8C9517" w14:textId="77777777" w:rsidR="00307B6F" w:rsidRPr="00307B6F" w:rsidRDefault="00307B6F" w:rsidP="00307B6F">
      <w:pPr>
        <w:tabs>
          <w:tab w:val="right" w:pos="10064"/>
        </w:tabs>
        <w:spacing w:after="120"/>
        <w:ind w:left="284" w:hanging="284"/>
        <w:jc w:val="both"/>
      </w:pPr>
      <w:r w:rsidRPr="00307B6F">
        <w:t xml:space="preserve">2 - O Sistema de Operações do Crédito Rural e do </w:t>
      </w:r>
      <w:proofErr w:type="spellStart"/>
      <w:r w:rsidRPr="00307B6F">
        <w:t>Proagro</w:t>
      </w:r>
      <w:proofErr w:type="spellEnd"/>
      <w:r w:rsidRPr="00307B6F">
        <w:t xml:space="preserve"> (</w:t>
      </w:r>
      <w:proofErr w:type="spellStart"/>
      <w:r w:rsidRPr="00307B6F">
        <w:t>Sicor</w:t>
      </w:r>
      <w:proofErr w:type="spellEnd"/>
      <w:r w:rsidRPr="00307B6F">
        <w:t>) destina-se ao registro das operações de crédito rural</w:t>
      </w:r>
      <w:r w:rsidRPr="00307B6F" w:rsidDel="00D1711A">
        <w:t xml:space="preserve"> </w:t>
      </w:r>
      <w:r w:rsidRPr="00307B6F">
        <w:t>concedidas pelas instituições financeiras autorizadas a operar em crédito rural, bem como dos enquadramentos de empreendimentos no Programa de Garantia da Atividade Agropecuária (</w:t>
      </w:r>
      <w:proofErr w:type="spellStart"/>
      <w:r w:rsidRPr="00307B6F">
        <w:t>Proagro</w:t>
      </w:r>
      <w:proofErr w:type="spellEnd"/>
      <w:r w:rsidRPr="00307B6F">
        <w:t>).</w:t>
      </w:r>
    </w:p>
    <w:p w14:paraId="0F4058AB" w14:textId="77777777" w:rsidR="00307B6F" w:rsidRPr="00307B6F" w:rsidRDefault="00307B6F" w:rsidP="00307B6F">
      <w:pPr>
        <w:tabs>
          <w:tab w:val="right" w:pos="10064"/>
        </w:tabs>
        <w:ind w:left="284" w:hanging="284"/>
        <w:jc w:val="both"/>
      </w:pPr>
      <w:r w:rsidRPr="00307B6F">
        <w:t xml:space="preserve">3 - O </w:t>
      </w:r>
      <w:proofErr w:type="spellStart"/>
      <w:r w:rsidRPr="00307B6F">
        <w:t>Sicor</w:t>
      </w:r>
      <w:proofErr w:type="spellEnd"/>
      <w:r w:rsidRPr="00307B6F">
        <w:t xml:space="preserve"> tem por objetivo:</w:t>
      </w:r>
    </w:p>
    <w:p w14:paraId="32964C46" w14:textId="77777777" w:rsidR="00307B6F" w:rsidRPr="00307B6F" w:rsidRDefault="00307B6F" w:rsidP="00307B6F">
      <w:pPr>
        <w:tabs>
          <w:tab w:val="right" w:pos="10064"/>
        </w:tabs>
        <w:ind w:left="568" w:hanging="284"/>
        <w:jc w:val="both"/>
      </w:pPr>
      <w:r w:rsidRPr="00307B6F">
        <w:t>a) fornecer dados sobre crédito rural nele registrados à sociedade em geral;</w:t>
      </w:r>
    </w:p>
    <w:p w14:paraId="4AF8DD17" w14:textId="77777777" w:rsidR="00307B6F" w:rsidRPr="00307B6F" w:rsidRDefault="00307B6F" w:rsidP="00307B6F">
      <w:pPr>
        <w:tabs>
          <w:tab w:val="right" w:pos="10064"/>
        </w:tabs>
        <w:ind w:left="568" w:hanging="284"/>
        <w:jc w:val="both"/>
      </w:pPr>
      <w:r w:rsidRPr="00307B6F">
        <w:t>b) evitar o paralelismo de assistência creditícia;</w:t>
      </w:r>
    </w:p>
    <w:p w14:paraId="48469605" w14:textId="77777777" w:rsidR="00307B6F" w:rsidRPr="00307B6F" w:rsidRDefault="00307B6F" w:rsidP="00307B6F">
      <w:pPr>
        <w:tabs>
          <w:tab w:val="right" w:pos="10064"/>
        </w:tabs>
        <w:ind w:left="568" w:hanging="284"/>
        <w:jc w:val="both"/>
      </w:pPr>
      <w:r w:rsidRPr="00307B6F">
        <w:t>c) possibilitar o acompanhamento das operações do crédito rural;</w:t>
      </w:r>
    </w:p>
    <w:p w14:paraId="56F60F6A" w14:textId="77777777" w:rsidR="00307B6F" w:rsidRPr="00307B6F" w:rsidRDefault="00307B6F" w:rsidP="00307B6F">
      <w:pPr>
        <w:tabs>
          <w:tab w:val="right" w:pos="10064"/>
        </w:tabs>
        <w:ind w:left="568" w:hanging="284"/>
        <w:jc w:val="both"/>
      </w:pPr>
      <w:r w:rsidRPr="00307B6F">
        <w:t xml:space="preserve">d) possibilitar o acompanhamento e o controle das operações enquadradas no </w:t>
      </w:r>
      <w:proofErr w:type="spellStart"/>
      <w:r w:rsidRPr="00307B6F">
        <w:t>Proagro</w:t>
      </w:r>
      <w:proofErr w:type="spellEnd"/>
      <w:r w:rsidRPr="00307B6F">
        <w:t>;</w:t>
      </w:r>
    </w:p>
    <w:p w14:paraId="38BA27EE" w14:textId="77777777" w:rsidR="00307B6F" w:rsidRPr="00307B6F" w:rsidRDefault="00307B6F" w:rsidP="00307B6F">
      <w:pPr>
        <w:tabs>
          <w:tab w:val="right" w:pos="10064"/>
        </w:tabs>
        <w:ind w:left="568" w:hanging="284"/>
        <w:jc w:val="both"/>
      </w:pPr>
      <w:r w:rsidRPr="00307B6F">
        <w:t>e) agrupar informações e dados essenciais à gestão das políticas do seguro agrícola e da garantia da atividade agropecuária;</w:t>
      </w:r>
    </w:p>
    <w:p w14:paraId="589AA7CE" w14:textId="77777777" w:rsidR="00307B6F" w:rsidRPr="00307B6F" w:rsidRDefault="00307B6F" w:rsidP="00307B6F">
      <w:pPr>
        <w:tabs>
          <w:tab w:val="right" w:pos="10064"/>
        </w:tabs>
        <w:spacing w:after="120"/>
        <w:ind w:left="568" w:hanging="284"/>
        <w:jc w:val="both"/>
      </w:pPr>
      <w:r w:rsidRPr="00307B6F">
        <w:t>f) propiciar aos órgãos federais, estaduais e municipais responsáveis por essas políticas acesso aos dados do crédito rural.</w:t>
      </w:r>
    </w:p>
    <w:p w14:paraId="40247B94" w14:textId="77777777" w:rsidR="00307B6F" w:rsidRPr="00307B6F" w:rsidRDefault="00307B6F" w:rsidP="00307B6F">
      <w:pPr>
        <w:tabs>
          <w:tab w:val="right" w:pos="10064"/>
        </w:tabs>
        <w:ind w:left="284" w:hanging="284"/>
        <w:jc w:val="both"/>
        <w:rPr>
          <w:b/>
        </w:rPr>
      </w:pPr>
      <w:r w:rsidRPr="00307B6F">
        <w:t xml:space="preserve">4 - Cabe ao Departamento de Regulação, Supervisão e Controle das Operações do Crédito Rural e do </w:t>
      </w:r>
      <w:proofErr w:type="spellStart"/>
      <w:r w:rsidRPr="00307B6F">
        <w:t>Proagro</w:t>
      </w:r>
      <w:proofErr w:type="spellEnd"/>
      <w:r w:rsidRPr="00307B6F">
        <w:t xml:space="preserve"> (</w:t>
      </w:r>
      <w:proofErr w:type="spellStart"/>
      <w:r w:rsidRPr="00307B6F">
        <w:t>Derop</w:t>
      </w:r>
      <w:proofErr w:type="spellEnd"/>
      <w:r w:rsidRPr="00307B6F">
        <w:t xml:space="preserve">) do Banco Central do Brasil a administração do </w:t>
      </w:r>
      <w:proofErr w:type="spellStart"/>
      <w:r w:rsidRPr="00307B6F">
        <w:t>Sicor</w:t>
      </w:r>
      <w:proofErr w:type="spellEnd"/>
      <w:r w:rsidRPr="00307B6F">
        <w:t>, cumprindo-lhe, no mínimo:</w:t>
      </w:r>
    </w:p>
    <w:p w14:paraId="52A5AC44" w14:textId="77777777" w:rsidR="00307B6F" w:rsidRPr="00307B6F" w:rsidRDefault="00307B6F" w:rsidP="00307B6F">
      <w:pPr>
        <w:tabs>
          <w:tab w:val="right" w:pos="10064"/>
        </w:tabs>
        <w:ind w:left="568" w:hanging="284"/>
        <w:jc w:val="both"/>
      </w:pPr>
      <w:r w:rsidRPr="00307B6F">
        <w:t xml:space="preserve">a) divulgar instruções para cadastramento de operações no </w:t>
      </w:r>
      <w:proofErr w:type="spellStart"/>
      <w:r w:rsidRPr="00307B6F">
        <w:t>Sicor</w:t>
      </w:r>
      <w:proofErr w:type="spellEnd"/>
      <w:r w:rsidRPr="00307B6F">
        <w:t>, inclusive no que se refere à forma de envio de dados e informações pelas instituições financeiras ao Banco Central do Brasil; e</w:t>
      </w:r>
    </w:p>
    <w:p w14:paraId="38CE7BD4" w14:textId="77777777" w:rsidR="00307B6F" w:rsidRPr="00307B6F" w:rsidRDefault="00307B6F" w:rsidP="00307B6F">
      <w:pPr>
        <w:tabs>
          <w:tab w:val="right" w:pos="10064"/>
        </w:tabs>
        <w:spacing w:after="120"/>
        <w:ind w:left="568" w:hanging="284"/>
        <w:jc w:val="both"/>
      </w:pPr>
      <w:r w:rsidRPr="00307B6F">
        <w:t>b) dar ampla divulgação dos dados e das informações do sistema, principalmente por meio do sítio do Banco Central do Brasil na internet.</w:t>
      </w:r>
    </w:p>
    <w:p w14:paraId="647146A9" w14:textId="77777777" w:rsidR="00307B6F" w:rsidRPr="00307B6F" w:rsidRDefault="00307B6F" w:rsidP="00307B6F">
      <w:pPr>
        <w:tabs>
          <w:tab w:val="right" w:pos="10064"/>
        </w:tabs>
        <w:spacing w:after="120"/>
        <w:ind w:left="284" w:hanging="284"/>
        <w:jc w:val="both"/>
      </w:pPr>
      <w:r w:rsidRPr="00307B6F">
        <w:t xml:space="preserve">5 - As operações realizadas ao amparo do Programa Nacional de Fortalecimento da Agricultura Familiar (Pronaf), sob a modalidade de crédito rotativo, devem ser cadastradas no </w:t>
      </w:r>
      <w:proofErr w:type="spellStart"/>
      <w:r w:rsidRPr="00307B6F">
        <w:t>Sicor</w:t>
      </w:r>
      <w:proofErr w:type="spellEnd"/>
      <w:r w:rsidRPr="00307B6F">
        <w:t xml:space="preserve"> pelo valor total do crédito aberto e recadastradas na hipótese de renovação.</w:t>
      </w:r>
    </w:p>
    <w:p w14:paraId="68B0A8A5" w14:textId="77777777" w:rsidR="00307B6F" w:rsidRPr="00307B6F" w:rsidRDefault="00307B6F" w:rsidP="00307B6F">
      <w:pPr>
        <w:tabs>
          <w:tab w:val="right" w:pos="10064"/>
        </w:tabs>
        <w:ind w:left="284" w:hanging="284"/>
        <w:jc w:val="both"/>
      </w:pPr>
      <w:r w:rsidRPr="00307B6F">
        <w:t xml:space="preserve">6 - Os empreendimentos assistidos pelo crédito rotativo e com enquadramento no </w:t>
      </w:r>
      <w:proofErr w:type="spellStart"/>
      <w:r w:rsidRPr="00307B6F">
        <w:t>Proagro</w:t>
      </w:r>
      <w:proofErr w:type="spellEnd"/>
      <w:r w:rsidRPr="00307B6F">
        <w:t xml:space="preserve">, mediante cláusula específica, devem ser obrigatoriamente cadastrados à época/ciclo produtivo a que se referem, por meio de novos registros no </w:t>
      </w:r>
      <w:proofErr w:type="spellStart"/>
      <w:r w:rsidRPr="00307B6F">
        <w:t>Sicor</w:t>
      </w:r>
      <w:proofErr w:type="spellEnd"/>
      <w:r w:rsidRPr="00307B6F">
        <w:t>:</w:t>
      </w:r>
    </w:p>
    <w:p w14:paraId="5C42A751" w14:textId="77777777" w:rsidR="00307B6F" w:rsidRPr="00307B6F" w:rsidRDefault="00307B6F" w:rsidP="00307B6F">
      <w:pPr>
        <w:tabs>
          <w:tab w:val="right" w:pos="10064"/>
        </w:tabs>
        <w:ind w:left="568" w:hanging="284"/>
        <w:jc w:val="both"/>
      </w:pPr>
      <w:r w:rsidRPr="00307B6F">
        <w:t>a) especificando todos os dados relativos ao empreendimento amparado, inclusive o crédito ao qual está vinculado;</w:t>
      </w:r>
    </w:p>
    <w:p w14:paraId="0419C56A" w14:textId="77777777" w:rsidR="00307B6F" w:rsidRPr="00307B6F" w:rsidRDefault="00307B6F" w:rsidP="00307B6F">
      <w:pPr>
        <w:tabs>
          <w:tab w:val="left" w:pos="8544"/>
        </w:tabs>
        <w:ind w:left="568" w:hanging="284"/>
        <w:jc w:val="both"/>
      </w:pPr>
      <w:r w:rsidRPr="00307B6F">
        <w:t xml:space="preserve">b) utilizando códigos </w:t>
      </w:r>
      <w:proofErr w:type="spellStart"/>
      <w:r w:rsidRPr="00307B6F">
        <w:t>Sicor</w:t>
      </w:r>
      <w:proofErr w:type="spellEnd"/>
      <w:r w:rsidRPr="00307B6F">
        <w:t xml:space="preserve"> específicos para cada empreendimento;</w:t>
      </w:r>
    </w:p>
    <w:p w14:paraId="6BB73811" w14:textId="77777777" w:rsidR="00307B6F" w:rsidRPr="00307B6F" w:rsidRDefault="00307B6F" w:rsidP="00307B6F">
      <w:pPr>
        <w:tabs>
          <w:tab w:val="right" w:pos="10064"/>
        </w:tabs>
        <w:spacing w:after="120"/>
        <w:ind w:left="568" w:hanging="284"/>
        <w:jc w:val="both"/>
      </w:pPr>
      <w:r w:rsidRPr="00307B6F">
        <w:t>c) indicando a data do cadastramento da operação.</w:t>
      </w:r>
    </w:p>
    <w:p w14:paraId="6EEEC5BB" w14:textId="77777777" w:rsidR="00307B6F" w:rsidRPr="00307B6F" w:rsidRDefault="00307B6F" w:rsidP="00307B6F">
      <w:pPr>
        <w:tabs>
          <w:tab w:val="right" w:pos="10064"/>
        </w:tabs>
        <w:ind w:left="284" w:hanging="284"/>
        <w:jc w:val="both"/>
      </w:pPr>
      <w:r w:rsidRPr="00307B6F">
        <w:t>7 - Em operações de desconto, dispensa-se a retenção das notas fiscais vinculadas ao crédito, cabendo à instituição financeira:</w:t>
      </w:r>
    </w:p>
    <w:p w14:paraId="592483F4" w14:textId="77777777" w:rsidR="00307B6F" w:rsidRPr="00307B6F" w:rsidRDefault="00307B6F" w:rsidP="00307B6F">
      <w:pPr>
        <w:tabs>
          <w:tab w:val="right" w:pos="10064"/>
        </w:tabs>
        <w:ind w:left="568" w:hanging="284"/>
        <w:jc w:val="both"/>
      </w:pPr>
      <w:r w:rsidRPr="00307B6F">
        <w:t xml:space="preserve">a) exigir do </w:t>
      </w:r>
      <w:proofErr w:type="spellStart"/>
      <w:r w:rsidRPr="00307B6F">
        <w:t>descontário</w:t>
      </w:r>
      <w:proofErr w:type="spellEnd"/>
      <w:r w:rsidRPr="00307B6F">
        <w:t xml:space="preserve"> relação discriminativa das notas fiscais;</w:t>
      </w:r>
    </w:p>
    <w:p w14:paraId="68E70C91" w14:textId="77777777" w:rsidR="00307B6F" w:rsidRPr="00307B6F" w:rsidRDefault="00307B6F" w:rsidP="00307B6F">
      <w:pPr>
        <w:tabs>
          <w:tab w:val="right" w:pos="10064"/>
        </w:tabs>
        <w:ind w:left="568" w:hanging="284"/>
        <w:jc w:val="both"/>
      </w:pPr>
      <w:r w:rsidRPr="00307B6F">
        <w:t>b) conferir e autenticar a relação;</w:t>
      </w:r>
    </w:p>
    <w:p w14:paraId="02DA0A38" w14:textId="77777777" w:rsidR="00307B6F" w:rsidRPr="00307B6F" w:rsidRDefault="00307B6F" w:rsidP="00307B6F">
      <w:pPr>
        <w:tabs>
          <w:tab w:val="right" w:pos="10064"/>
        </w:tabs>
        <w:spacing w:after="120"/>
        <w:ind w:left="568" w:hanging="284"/>
        <w:jc w:val="both"/>
      </w:pPr>
      <w:r w:rsidRPr="00307B6F">
        <w:t xml:space="preserve">c) apor carimbo nas notas fiscais, caracterizando sua vinculação ao crédito, antes de devolvê-la ao </w:t>
      </w:r>
      <w:proofErr w:type="spellStart"/>
      <w:r w:rsidRPr="00307B6F">
        <w:t>descontário</w:t>
      </w:r>
      <w:proofErr w:type="spellEnd"/>
      <w:r w:rsidRPr="00307B6F">
        <w:t>.</w:t>
      </w:r>
    </w:p>
    <w:p w14:paraId="01C6BD45" w14:textId="77777777" w:rsidR="00307B6F" w:rsidRPr="00307B6F" w:rsidRDefault="00307B6F" w:rsidP="00307B6F">
      <w:pPr>
        <w:tabs>
          <w:tab w:val="right" w:pos="10064"/>
        </w:tabs>
        <w:spacing w:after="120"/>
        <w:ind w:left="284" w:hanging="284"/>
        <w:jc w:val="both"/>
      </w:pPr>
      <w:r w:rsidRPr="00307B6F">
        <w:t xml:space="preserve">8 - É vedado contabilizar no título "Financiamentos Rurais" o desconto de duplicatas mercantis e de outros títulos de crédito geral, ainda que a atividade predominante do </w:t>
      </w:r>
      <w:proofErr w:type="spellStart"/>
      <w:r w:rsidRPr="00307B6F">
        <w:t>descontário</w:t>
      </w:r>
      <w:proofErr w:type="spellEnd"/>
      <w:r w:rsidRPr="00307B6F">
        <w:t xml:space="preserve"> seja a agropecuária.</w:t>
      </w:r>
    </w:p>
    <w:p w14:paraId="4057B904" w14:textId="77777777" w:rsidR="00307B6F" w:rsidRPr="00307B6F" w:rsidRDefault="00307B6F" w:rsidP="00307B6F">
      <w:pPr>
        <w:tabs>
          <w:tab w:val="right" w:pos="10064"/>
        </w:tabs>
        <w:ind w:left="284" w:hanging="284"/>
        <w:jc w:val="both"/>
      </w:pPr>
      <w:r w:rsidRPr="00307B6F">
        <w:t>9 - Em relação aos documentos referentes ao financiamento de crédito rural cujas versões originais não sejam disponibilizadas em meio digital, observada a legislação específica relativa à matéria, aplicam-se as seguintes disposições:</w:t>
      </w:r>
    </w:p>
    <w:p w14:paraId="00619ABB" w14:textId="77777777" w:rsidR="00307B6F" w:rsidRPr="00307B6F" w:rsidRDefault="00307B6F" w:rsidP="00307B6F">
      <w:pPr>
        <w:tabs>
          <w:tab w:val="right" w:pos="10064"/>
        </w:tabs>
        <w:ind w:left="568" w:hanging="284"/>
        <w:jc w:val="both"/>
      </w:pPr>
      <w:r w:rsidRPr="00307B6F">
        <w:t>a) a documentação relativa à operação de crédito rural, inclusive cópia do instrumento de crédito e da ficha cadastral que serviu de base para deferimento da operação, deve ser mantida na agência operadora ou na unidade centralizadora, pelo prazo de até 1 (um) ano após a liquidação, para efeitos de eventual supervisão pelo Banco Central do Brasil, sem prejuízo de outras disposições especiais a respeito;</w:t>
      </w:r>
    </w:p>
    <w:p w14:paraId="3B79A052" w14:textId="77777777" w:rsidR="00307B6F" w:rsidRPr="00307B6F" w:rsidRDefault="00307B6F" w:rsidP="00307B6F">
      <w:pPr>
        <w:tabs>
          <w:tab w:val="right" w:pos="10064"/>
        </w:tabs>
        <w:spacing w:after="120"/>
        <w:ind w:left="568" w:hanging="284"/>
        <w:jc w:val="both"/>
      </w:pPr>
      <w:r w:rsidRPr="00307B6F">
        <w:t>b) admite-se que o original de documento alusivo à operação seja provisoriamente substituído no dossiê por cópia, na eventualidade de sua retirada para qualquer providência por parte da instituição financeira.</w:t>
      </w:r>
    </w:p>
    <w:p w14:paraId="040771AC" w14:textId="44083FF5" w:rsidR="00694B47" w:rsidRPr="003B1179" w:rsidRDefault="00307B6F" w:rsidP="00307B6F">
      <w:pPr>
        <w:pStyle w:val="TextosemFormatao"/>
        <w:tabs>
          <w:tab w:val="right" w:pos="9923"/>
        </w:tabs>
        <w:ind w:left="284" w:hanging="284"/>
      </w:pPr>
      <w:r w:rsidRPr="00307B6F">
        <w:rPr>
          <w:rFonts w:ascii="Times New Roman" w:hAnsi="Times New Roman"/>
        </w:rPr>
        <w:t>10 - A operação desclassificada</w:t>
      </w:r>
      <w:r w:rsidRPr="00307B6F">
        <w:rPr>
          <w:rFonts w:ascii="Calibri" w:hAnsi="Calibri" w:cs="Calibri"/>
        </w:rPr>
        <w:t xml:space="preserve"> deve ser excluída do título "Financiamentos Rurais", quando perder as características de crédito rural.</w:t>
      </w:r>
    </w:p>
    <w:sectPr w:rsidR="00694B47" w:rsidRPr="003B1179" w:rsidSect="00620B42">
      <w:footerReference w:type="default" r:id="rId8"/>
      <w:footerReference w:type="first" r:id="rId9"/>
      <w:type w:val="continuous"/>
      <w:pgSz w:w="11907" w:h="16840" w:code="9"/>
      <w:pgMar w:top="531" w:right="851" w:bottom="851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2CD97D" w14:textId="77777777" w:rsidR="00B14039" w:rsidRDefault="00B14039">
      <w:r>
        <w:separator/>
      </w:r>
    </w:p>
  </w:endnote>
  <w:endnote w:type="continuationSeparator" w:id="0">
    <w:p w14:paraId="78F5677C" w14:textId="77777777" w:rsidR="00B14039" w:rsidRDefault="00B14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2CC33" w14:textId="77777777" w:rsidR="00142E8B" w:rsidRPr="005B378A" w:rsidRDefault="00142E8B">
    <w:pPr>
      <w:pStyle w:val="TextosemFormatao"/>
      <w:rPr>
        <w:rFonts w:ascii="Times New Roman" w:hAnsi="Times New Roman"/>
      </w:rPr>
    </w:pPr>
    <w:r w:rsidRPr="005B378A">
      <w:rPr>
        <w:rFonts w:ascii="Times New Roman" w:hAnsi="Times New Roman"/>
      </w:rPr>
      <w:t>_____________________________________________________________________________________________</w:t>
    </w:r>
  </w:p>
  <w:p w14:paraId="6A00AD05" w14:textId="77777777" w:rsidR="00142E8B" w:rsidRPr="005B378A" w:rsidRDefault="00F65963" w:rsidP="00142E8B">
    <w:pPr>
      <w:pStyle w:val="Rodap"/>
    </w:pPr>
    <w:r w:rsidRPr="00F65963">
      <w:t>Atualização MCR 685, de 5 de agosto de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4945A" w14:textId="77777777" w:rsidR="00307B6F" w:rsidRPr="005B378A" w:rsidRDefault="00307B6F" w:rsidP="00307B6F">
    <w:pPr>
      <w:pStyle w:val="TextosemFormatao"/>
      <w:rPr>
        <w:rFonts w:ascii="Times New Roman" w:hAnsi="Times New Roman"/>
      </w:rPr>
    </w:pPr>
    <w:r w:rsidRPr="005B378A">
      <w:rPr>
        <w:rFonts w:ascii="Times New Roman" w:hAnsi="Times New Roman"/>
      </w:rPr>
      <w:t>_____________________________________________________________________________________________</w:t>
    </w:r>
  </w:p>
  <w:p w14:paraId="391BF8F8" w14:textId="611F0708" w:rsidR="00307B6F" w:rsidRDefault="0004507E" w:rsidP="00307B6F">
    <w:pPr>
      <w:pStyle w:val="Rodap"/>
    </w:pPr>
    <w:r w:rsidRPr="0004507E">
      <w:t>Resolução BCB nº 87, de 20 de abril de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A08F47" w14:textId="77777777" w:rsidR="00B14039" w:rsidRDefault="00B14039">
      <w:r>
        <w:separator/>
      </w:r>
    </w:p>
  </w:footnote>
  <w:footnote w:type="continuationSeparator" w:id="0">
    <w:p w14:paraId="33940BE3" w14:textId="77777777" w:rsidR="00B14039" w:rsidRDefault="00B140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01D3D"/>
    <w:multiLevelType w:val="singleLevel"/>
    <w:tmpl w:val="DC10EAB8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60822BC"/>
    <w:multiLevelType w:val="singleLevel"/>
    <w:tmpl w:val="8CEE11E6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F0C7731"/>
    <w:multiLevelType w:val="hybridMultilevel"/>
    <w:tmpl w:val="364211DC"/>
    <w:lvl w:ilvl="0" w:tplc="6758FB3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154040D"/>
    <w:multiLevelType w:val="singleLevel"/>
    <w:tmpl w:val="37809C70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234B2993"/>
    <w:multiLevelType w:val="hybridMultilevel"/>
    <w:tmpl w:val="5664C2F0"/>
    <w:lvl w:ilvl="0" w:tplc="437445F0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3" w:hanging="360"/>
      </w:pPr>
    </w:lvl>
    <w:lvl w:ilvl="2" w:tplc="0416001B" w:tentative="1">
      <w:start w:val="1"/>
      <w:numFmt w:val="lowerRoman"/>
      <w:lvlText w:val="%3."/>
      <w:lvlJc w:val="right"/>
      <w:pPr>
        <w:ind w:left="2083" w:hanging="180"/>
      </w:pPr>
    </w:lvl>
    <w:lvl w:ilvl="3" w:tplc="0416000F" w:tentative="1">
      <w:start w:val="1"/>
      <w:numFmt w:val="decimal"/>
      <w:lvlText w:val="%4."/>
      <w:lvlJc w:val="left"/>
      <w:pPr>
        <w:ind w:left="2803" w:hanging="360"/>
      </w:pPr>
    </w:lvl>
    <w:lvl w:ilvl="4" w:tplc="04160019" w:tentative="1">
      <w:start w:val="1"/>
      <w:numFmt w:val="lowerLetter"/>
      <w:lvlText w:val="%5."/>
      <w:lvlJc w:val="left"/>
      <w:pPr>
        <w:ind w:left="3523" w:hanging="360"/>
      </w:pPr>
    </w:lvl>
    <w:lvl w:ilvl="5" w:tplc="0416001B" w:tentative="1">
      <w:start w:val="1"/>
      <w:numFmt w:val="lowerRoman"/>
      <w:lvlText w:val="%6."/>
      <w:lvlJc w:val="right"/>
      <w:pPr>
        <w:ind w:left="4243" w:hanging="180"/>
      </w:pPr>
    </w:lvl>
    <w:lvl w:ilvl="6" w:tplc="0416000F" w:tentative="1">
      <w:start w:val="1"/>
      <w:numFmt w:val="decimal"/>
      <w:lvlText w:val="%7."/>
      <w:lvlJc w:val="left"/>
      <w:pPr>
        <w:ind w:left="4963" w:hanging="360"/>
      </w:pPr>
    </w:lvl>
    <w:lvl w:ilvl="7" w:tplc="04160019" w:tentative="1">
      <w:start w:val="1"/>
      <w:numFmt w:val="lowerLetter"/>
      <w:lvlText w:val="%8."/>
      <w:lvlJc w:val="left"/>
      <w:pPr>
        <w:ind w:left="5683" w:hanging="360"/>
      </w:pPr>
    </w:lvl>
    <w:lvl w:ilvl="8" w:tplc="0416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mirrorMargins/>
  <w:proofState w:spelling="clean" w:grammar="clean"/>
  <w:attachedTemplate r:id="rId1"/>
  <w:doNotTrackMoves/>
  <w:defaultTabStop w:val="709"/>
  <w:consecutiveHyphenLimit w:val="3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D4C92"/>
    <w:rsid w:val="00001D94"/>
    <w:rsid w:val="00021B29"/>
    <w:rsid w:val="0004507E"/>
    <w:rsid w:val="00045C20"/>
    <w:rsid w:val="00072259"/>
    <w:rsid w:val="000A482F"/>
    <w:rsid w:val="000C6830"/>
    <w:rsid w:val="000D3941"/>
    <w:rsid w:val="000D3E22"/>
    <w:rsid w:val="000D601D"/>
    <w:rsid w:val="000E3D5E"/>
    <w:rsid w:val="000E752A"/>
    <w:rsid w:val="000F5C58"/>
    <w:rsid w:val="00117308"/>
    <w:rsid w:val="00142E8B"/>
    <w:rsid w:val="00146FF5"/>
    <w:rsid w:val="00164C59"/>
    <w:rsid w:val="00177817"/>
    <w:rsid w:val="001957EA"/>
    <w:rsid w:val="001C1303"/>
    <w:rsid w:val="001C3074"/>
    <w:rsid w:val="001E7CE1"/>
    <w:rsid w:val="001F0993"/>
    <w:rsid w:val="002215CC"/>
    <w:rsid w:val="00232243"/>
    <w:rsid w:val="00232E38"/>
    <w:rsid w:val="00266611"/>
    <w:rsid w:val="00274E29"/>
    <w:rsid w:val="00281A2C"/>
    <w:rsid w:val="00293B65"/>
    <w:rsid w:val="002A0174"/>
    <w:rsid w:val="002A039E"/>
    <w:rsid w:val="002D3DEC"/>
    <w:rsid w:val="002D4C92"/>
    <w:rsid w:val="002D650D"/>
    <w:rsid w:val="002F014B"/>
    <w:rsid w:val="00301F3D"/>
    <w:rsid w:val="00304F24"/>
    <w:rsid w:val="00307B6F"/>
    <w:rsid w:val="00363704"/>
    <w:rsid w:val="003A019D"/>
    <w:rsid w:val="003B1179"/>
    <w:rsid w:val="003C79BA"/>
    <w:rsid w:val="003D21B8"/>
    <w:rsid w:val="003E29F6"/>
    <w:rsid w:val="00427DFB"/>
    <w:rsid w:val="00434ED5"/>
    <w:rsid w:val="00447E17"/>
    <w:rsid w:val="0045492A"/>
    <w:rsid w:val="004549EC"/>
    <w:rsid w:val="00463074"/>
    <w:rsid w:val="00470017"/>
    <w:rsid w:val="004A31FA"/>
    <w:rsid w:val="004A54EB"/>
    <w:rsid w:val="004B4388"/>
    <w:rsid w:val="004C7BD0"/>
    <w:rsid w:val="00501F5C"/>
    <w:rsid w:val="005260D5"/>
    <w:rsid w:val="005324C8"/>
    <w:rsid w:val="005555AD"/>
    <w:rsid w:val="005566C3"/>
    <w:rsid w:val="00570A58"/>
    <w:rsid w:val="00597642"/>
    <w:rsid w:val="005A3A65"/>
    <w:rsid w:val="005B378A"/>
    <w:rsid w:val="005B5C16"/>
    <w:rsid w:val="00606FC2"/>
    <w:rsid w:val="006160B7"/>
    <w:rsid w:val="00620B42"/>
    <w:rsid w:val="006233CD"/>
    <w:rsid w:val="00630B89"/>
    <w:rsid w:val="00643214"/>
    <w:rsid w:val="0068262E"/>
    <w:rsid w:val="00693B24"/>
    <w:rsid w:val="00694B47"/>
    <w:rsid w:val="006A1DE5"/>
    <w:rsid w:val="006A6E5F"/>
    <w:rsid w:val="006B5027"/>
    <w:rsid w:val="006D49DC"/>
    <w:rsid w:val="00702FC0"/>
    <w:rsid w:val="007159B8"/>
    <w:rsid w:val="007228B0"/>
    <w:rsid w:val="00735DE8"/>
    <w:rsid w:val="007364AD"/>
    <w:rsid w:val="00747479"/>
    <w:rsid w:val="00790C21"/>
    <w:rsid w:val="007A05EB"/>
    <w:rsid w:val="007C1E89"/>
    <w:rsid w:val="007C3E0F"/>
    <w:rsid w:val="007D0644"/>
    <w:rsid w:val="007D1EA9"/>
    <w:rsid w:val="007D32EA"/>
    <w:rsid w:val="007D7264"/>
    <w:rsid w:val="007E7322"/>
    <w:rsid w:val="007F5CCF"/>
    <w:rsid w:val="008060EC"/>
    <w:rsid w:val="0082202A"/>
    <w:rsid w:val="00871389"/>
    <w:rsid w:val="008752A4"/>
    <w:rsid w:val="00877364"/>
    <w:rsid w:val="00880523"/>
    <w:rsid w:val="00894A58"/>
    <w:rsid w:val="008E7435"/>
    <w:rsid w:val="009000C8"/>
    <w:rsid w:val="00903D97"/>
    <w:rsid w:val="00906732"/>
    <w:rsid w:val="00910481"/>
    <w:rsid w:val="00910829"/>
    <w:rsid w:val="00927B8C"/>
    <w:rsid w:val="0093441E"/>
    <w:rsid w:val="009348B2"/>
    <w:rsid w:val="00964238"/>
    <w:rsid w:val="00985713"/>
    <w:rsid w:val="00996887"/>
    <w:rsid w:val="00996E49"/>
    <w:rsid w:val="009B3B7A"/>
    <w:rsid w:val="009B4386"/>
    <w:rsid w:val="009C0B3C"/>
    <w:rsid w:val="009C109B"/>
    <w:rsid w:val="009E3FFA"/>
    <w:rsid w:val="009E7477"/>
    <w:rsid w:val="00A044BD"/>
    <w:rsid w:val="00A16947"/>
    <w:rsid w:val="00A45ECE"/>
    <w:rsid w:val="00A51790"/>
    <w:rsid w:val="00A60997"/>
    <w:rsid w:val="00A663B0"/>
    <w:rsid w:val="00A70C35"/>
    <w:rsid w:val="00A875F6"/>
    <w:rsid w:val="00AC5485"/>
    <w:rsid w:val="00AC6EDC"/>
    <w:rsid w:val="00AE4463"/>
    <w:rsid w:val="00B00FA1"/>
    <w:rsid w:val="00B03651"/>
    <w:rsid w:val="00B14039"/>
    <w:rsid w:val="00B22A25"/>
    <w:rsid w:val="00B27A80"/>
    <w:rsid w:val="00B30294"/>
    <w:rsid w:val="00B43E1E"/>
    <w:rsid w:val="00B569A5"/>
    <w:rsid w:val="00B60F9B"/>
    <w:rsid w:val="00B65E97"/>
    <w:rsid w:val="00B70279"/>
    <w:rsid w:val="00B906DF"/>
    <w:rsid w:val="00BD3795"/>
    <w:rsid w:val="00BF265F"/>
    <w:rsid w:val="00C11B7C"/>
    <w:rsid w:val="00C32E37"/>
    <w:rsid w:val="00C47175"/>
    <w:rsid w:val="00C55EB6"/>
    <w:rsid w:val="00C60D6C"/>
    <w:rsid w:val="00C638F8"/>
    <w:rsid w:val="00C641D2"/>
    <w:rsid w:val="00C8225D"/>
    <w:rsid w:val="00C86ABA"/>
    <w:rsid w:val="00CA6760"/>
    <w:rsid w:val="00CC0F6A"/>
    <w:rsid w:val="00CE671C"/>
    <w:rsid w:val="00CE748B"/>
    <w:rsid w:val="00CF5360"/>
    <w:rsid w:val="00D1287C"/>
    <w:rsid w:val="00D142EC"/>
    <w:rsid w:val="00D16D6F"/>
    <w:rsid w:val="00D3678A"/>
    <w:rsid w:val="00D37C72"/>
    <w:rsid w:val="00D400DF"/>
    <w:rsid w:val="00D5656C"/>
    <w:rsid w:val="00D973D6"/>
    <w:rsid w:val="00DA6928"/>
    <w:rsid w:val="00DB1C3E"/>
    <w:rsid w:val="00DB4FD5"/>
    <w:rsid w:val="00DB71C4"/>
    <w:rsid w:val="00DE695F"/>
    <w:rsid w:val="00DF3A10"/>
    <w:rsid w:val="00E10C76"/>
    <w:rsid w:val="00E14859"/>
    <w:rsid w:val="00E20838"/>
    <w:rsid w:val="00E32C4E"/>
    <w:rsid w:val="00E666EE"/>
    <w:rsid w:val="00E72BDE"/>
    <w:rsid w:val="00E8295B"/>
    <w:rsid w:val="00EA1E54"/>
    <w:rsid w:val="00EA489D"/>
    <w:rsid w:val="00EA6F01"/>
    <w:rsid w:val="00EB1DE7"/>
    <w:rsid w:val="00ED5007"/>
    <w:rsid w:val="00EE72CA"/>
    <w:rsid w:val="00F00EE9"/>
    <w:rsid w:val="00F433CF"/>
    <w:rsid w:val="00F44C66"/>
    <w:rsid w:val="00F576C3"/>
    <w:rsid w:val="00F64978"/>
    <w:rsid w:val="00F65963"/>
    <w:rsid w:val="00F67141"/>
    <w:rsid w:val="00F771C9"/>
    <w:rsid w:val="00F869FF"/>
    <w:rsid w:val="00FA454B"/>
    <w:rsid w:val="00FA6D12"/>
    <w:rsid w:val="00FC4B9E"/>
    <w:rsid w:val="00FC4C95"/>
    <w:rsid w:val="00FD400D"/>
    <w:rsid w:val="00FE0313"/>
    <w:rsid w:val="00FE62E1"/>
    <w:rsid w:val="00FF31BC"/>
    <w:rsid w:val="00FF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261FA252"/>
  <w15:chartTrackingRefBased/>
  <w15:docId w15:val="{A38AE1E1-F799-4100-8DEA-8D38D1BD9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qFormat/>
    <w:pPr>
      <w:keepNext/>
      <w:tabs>
        <w:tab w:val="left" w:pos="1418"/>
      </w:tabs>
      <w:jc w:val="center"/>
      <w:outlineLvl w:val="1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customStyle="1" w:styleId="Referencia">
    <w:name w:val="Referencia"/>
    <w:basedOn w:val="Textodecomentrio"/>
    <w:pPr>
      <w:spacing w:before="120"/>
      <w:jc w:val="center"/>
    </w:pPr>
  </w:style>
  <w:style w:type="paragraph" w:styleId="TextosemFormatao">
    <w:name w:val="Plain Text"/>
    <w:basedOn w:val="Normal"/>
    <w:link w:val="TextosemFormataoChar"/>
    <w:semiHidden/>
    <w:pPr>
      <w:jc w:val="both"/>
    </w:pPr>
    <w:rPr>
      <w:rFonts w:ascii="Courier New" w:hAnsi="Courier New"/>
    </w:rPr>
  </w:style>
  <w:style w:type="paragraph" w:styleId="Textodecomentrio">
    <w:name w:val="annotation text"/>
    <w:basedOn w:val="Normal"/>
    <w:semiHidden/>
  </w:style>
  <w:style w:type="paragraph" w:customStyle="1" w:styleId="citao">
    <w:name w:val="citação"/>
    <w:pPr>
      <w:tabs>
        <w:tab w:val="right" w:leader="dot" w:pos="10206"/>
      </w:tabs>
      <w:ind w:left="709" w:firstLine="709"/>
      <w:jc w:val="both"/>
    </w:pPr>
    <w:rPr>
      <w:sz w:val="24"/>
    </w:rPr>
  </w:style>
  <w:style w:type="paragraph" w:customStyle="1" w:styleId="ementa">
    <w:name w:val="ementa"/>
    <w:next w:val="Normal"/>
    <w:autoRedefine/>
    <w:pPr>
      <w:ind w:left="1418"/>
      <w:jc w:val="both"/>
    </w:pPr>
    <w:rPr>
      <w:sz w:val="24"/>
    </w:rPr>
  </w:style>
  <w:style w:type="paragraph" w:customStyle="1" w:styleId="fecho">
    <w:name w:val="fecho"/>
    <w:basedOn w:val="Normal"/>
    <w:next w:val="Normal"/>
    <w:pPr>
      <w:tabs>
        <w:tab w:val="left" w:pos="1418"/>
      </w:tabs>
      <w:ind w:left="5103"/>
      <w:jc w:val="both"/>
    </w:pPr>
    <w:rPr>
      <w:sz w:val="24"/>
    </w:rPr>
  </w:style>
  <w:style w:type="paragraph" w:customStyle="1" w:styleId="parag">
    <w:name w:val="parag"/>
    <w:pPr>
      <w:tabs>
        <w:tab w:val="left" w:pos="1418"/>
      </w:tabs>
      <w:ind w:firstLine="1418"/>
      <w:jc w:val="both"/>
    </w:pPr>
    <w:rPr>
      <w:sz w:val="24"/>
    </w:rPr>
  </w:style>
  <w:style w:type="paragraph" w:customStyle="1" w:styleId="ttulo">
    <w:name w:val="título"/>
    <w:next w:val="ementa"/>
    <w:pPr>
      <w:jc w:val="center"/>
    </w:pPr>
    <w:rPr>
      <w:smallCaps/>
      <w:sz w:val="24"/>
    </w:rPr>
  </w:style>
  <w:style w:type="paragraph" w:styleId="Ttulo0">
    <w:name w:val="Title"/>
    <w:basedOn w:val="Normal"/>
    <w:qFormat/>
    <w:pPr>
      <w:tabs>
        <w:tab w:val="left" w:pos="1418"/>
        <w:tab w:val="left" w:pos="1701"/>
      </w:tabs>
      <w:jc w:val="center"/>
    </w:pPr>
    <w:rPr>
      <w:sz w:val="24"/>
    </w:rPr>
  </w:style>
  <w:style w:type="paragraph" w:styleId="Recuodecorpodetexto">
    <w:name w:val="Body Text Indent"/>
    <w:basedOn w:val="Normal"/>
    <w:semiHidden/>
    <w:pPr>
      <w:tabs>
        <w:tab w:val="left" w:pos="1418"/>
        <w:tab w:val="left" w:pos="1701"/>
      </w:tabs>
      <w:ind w:left="5103"/>
      <w:jc w:val="both"/>
    </w:pPr>
    <w:rPr>
      <w:sz w:val="24"/>
    </w:rPr>
  </w:style>
  <w:style w:type="paragraph" w:styleId="Corpodetexto">
    <w:name w:val="Body Text"/>
    <w:basedOn w:val="Normal"/>
    <w:semiHidden/>
    <w:rPr>
      <w:sz w:val="24"/>
    </w:rPr>
  </w:style>
  <w:style w:type="character" w:styleId="Hyperlink">
    <w:name w:val="Hyperlink"/>
    <w:semiHidden/>
    <w:rPr>
      <w:color w:val="0000FF"/>
      <w:u w:val="single"/>
    </w:rPr>
  </w:style>
  <w:style w:type="character" w:styleId="HiperlinkVisitado">
    <w:name w:val="FollowedHyperlink"/>
    <w:semiHidden/>
    <w:rPr>
      <w:color w:val="800080"/>
      <w:u w:val="single"/>
    </w:rPr>
  </w:style>
  <w:style w:type="paragraph" w:styleId="Textodebalo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semiHidden/>
    <w:rPr>
      <w:rFonts w:ascii="Tahoma" w:hAnsi="Tahoma" w:cs="Tahoma"/>
      <w:sz w:val="16"/>
      <w:szCs w:val="16"/>
    </w:rPr>
  </w:style>
  <w:style w:type="character" w:customStyle="1" w:styleId="TextosemFormataoChar">
    <w:name w:val="Texto sem Formatação Char"/>
    <w:link w:val="TextosemFormatao"/>
    <w:semiHidden/>
    <w:rsid w:val="00694B47"/>
    <w:rPr>
      <w:rFonts w:ascii="Courier New" w:hAnsi="Courier New"/>
    </w:rPr>
  </w:style>
  <w:style w:type="character" w:customStyle="1" w:styleId="RodapChar">
    <w:name w:val="Rodapé Char"/>
    <w:basedOn w:val="Fontepargpadro"/>
    <w:link w:val="Rodap"/>
    <w:semiHidden/>
    <w:rsid w:val="00307B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4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Modelo%20MNI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485504-4F45-4AE6-9652-D313A4493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MNI.dot</Template>
  <TotalTime>130</TotalTime>
  <Pages>1</Pages>
  <Words>624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1 - Os bancos múltiplos com carteira comercial, os bancos comerciais e a Caixa Econômica Federal podem contratar empresas para o desempenho das funções de correspondente no País, com vistas à prestação dos seguintes serviços: (Res 2707 art 1º I/IX)</vt:lpstr>
    </vt:vector>
  </TitlesOfParts>
  <Company>Banco Central do Brasil</Company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1 - Os bancos múltiplos com carteira comercial, os bancos comerciais e a Caixa Econômica Federal podem contratar empresas para o desempenho das funções de correspondente no País, com vistas à prestação dos seguintes serviços: (Res 2707 art 1º I/IX)</dc:title>
  <dc:subject/>
  <dc:creator>Banco Central do Brasil</dc:creator>
  <cp:keywords/>
  <cp:lastModifiedBy>Claudio Baruzzi</cp:lastModifiedBy>
  <cp:revision>78</cp:revision>
  <cp:lastPrinted>2012-08-30T21:03:00Z</cp:lastPrinted>
  <dcterms:created xsi:type="dcterms:W3CDTF">2014-07-23T14:27:00Z</dcterms:created>
  <dcterms:modified xsi:type="dcterms:W3CDTF">2021-05-01T20:13:00Z</dcterms:modified>
</cp:coreProperties>
</file>