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024D" w14:textId="77777777" w:rsidR="00A852A6" w:rsidRPr="00D25056" w:rsidRDefault="00A852A6" w:rsidP="00A852A6">
      <w:pPr>
        <w:pStyle w:val="Cabealho"/>
        <w:tabs>
          <w:tab w:val="clear" w:pos="4419"/>
          <w:tab w:val="clear" w:pos="8838"/>
          <w:tab w:val="left" w:pos="993"/>
          <w:tab w:val="right" w:pos="9639"/>
        </w:tabs>
      </w:pPr>
      <w:r w:rsidRPr="00D25056">
        <w:t>TÍTULO</w:t>
      </w:r>
      <w:r w:rsidRPr="00D25056">
        <w:tab/>
        <w:t>: CRÉDITO RURAL</w:t>
      </w:r>
      <w:r w:rsidRPr="00D25056">
        <w:tab/>
      </w:r>
      <w:r w:rsidRPr="00D25056">
        <w:fldChar w:fldCharType="begin"/>
      </w:r>
      <w:r w:rsidRPr="00D25056">
        <w:instrText xml:space="preserve"> PAGE  \* MERGEFORMAT </w:instrText>
      </w:r>
      <w:r w:rsidRPr="00D25056">
        <w:fldChar w:fldCharType="separate"/>
      </w:r>
      <w:r w:rsidRPr="00D25056">
        <w:rPr>
          <w:noProof/>
        </w:rPr>
        <w:t>1</w:t>
      </w:r>
      <w:r w:rsidRPr="00D25056">
        <w:fldChar w:fldCharType="end"/>
      </w:r>
    </w:p>
    <w:p w14:paraId="1D7435DE" w14:textId="77777777" w:rsidR="00A852A6" w:rsidRPr="00D25056" w:rsidRDefault="00A852A6" w:rsidP="00A852A6">
      <w:pPr>
        <w:pStyle w:val="Cabealho"/>
        <w:tabs>
          <w:tab w:val="clear" w:pos="4419"/>
          <w:tab w:val="clear" w:pos="8838"/>
          <w:tab w:val="left" w:pos="993"/>
          <w:tab w:val="right" w:pos="9639"/>
        </w:tabs>
      </w:pPr>
      <w:r w:rsidRPr="00D25056">
        <w:t>CAPÍTULO</w:t>
      </w:r>
      <w:r w:rsidRPr="00D25056">
        <w:tab/>
        <w:t>: Condições Básicas - 2</w:t>
      </w:r>
    </w:p>
    <w:p w14:paraId="0E433CB9" w14:textId="78D22AE4" w:rsidR="00A852A6" w:rsidRPr="00D25056" w:rsidRDefault="00A852A6" w:rsidP="00A852A6">
      <w:pPr>
        <w:pStyle w:val="Cabealho"/>
        <w:tabs>
          <w:tab w:val="clear" w:pos="4419"/>
          <w:tab w:val="clear" w:pos="8838"/>
          <w:tab w:val="left" w:pos="993"/>
          <w:tab w:val="right" w:pos="9639"/>
          <w:tab w:val="right" w:pos="10064"/>
        </w:tabs>
      </w:pPr>
      <w:r w:rsidRPr="00D25056">
        <w:t>SEÇÃO</w:t>
      </w:r>
      <w:r w:rsidRPr="00D25056">
        <w:tab/>
        <w:t xml:space="preserve">: Utilização </w:t>
      </w:r>
      <w:r w:rsidR="00E53C20" w:rsidRPr="00D25056">
        <w:t>-</w:t>
      </w:r>
      <w:r w:rsidRPr="00D25056">
        <w:t xml:space="preserve"> 5</w:t>
      </w:r>
    </w:p>
    <w:p w14:paraId="447D4C17" w14:textId="77777777" w:rsidR="00A852A6" w:rsidRPr="00D25056" w:rsidRDefault="00A852A6" w:rsidP="00A852A6">
      <w:pPr>
        <w:pStyle w:val="Cabealho"/>
        <w:tabs>
          <w:tab w:val="clear" w:pos="4419"/>
          <w:tab w:val="clear" w:pos="8838"/>
          <w:tab w:val="left" w:pos="993"/>
          <w:tab w:val="right" w:pos="9639"/>
        </w:tabs>
      </w:pPr>
      <w:r w:rsidRPr="00D25056">
        <w:t>_____________________________________________________________________________________________</w:t>
      </w:r>
    </w:p>
    <w:p w14:paraId="15DCE1C1" w14:textId="77777777" w:rsidR="00A852A6" w:rsidRPr="00D25056" w:rsidRDefault="00A852A6" w:rsidP="00A852A6">
      <w:pPr>
        <w:pStyle w:val="TextosemFormatao"/>
        <w:tabs>
          <w:tab w:val="left" w:pos="4820"/>
        </w:tabs>
        <w:rPr>
          <w:rFonts w:ascii="Times New Roman" w:hAnsi="Times New Roman"/>
        </w:rPr>
      </w:pPr>
    </w:p>
    <w:p w14:paraId="5541514F" w14:textId="4B84AC58" w:rsidR="00D035E2" w:rsidRPr="00C6078E" w:rsidRDefault="00E903A6" w:rsidP="00EC66B7">
      <w:pPr>
        <w:tabs>
          <w:tab w:val="right" w:pos="9923"/>
          <w:tab w:val="right" w:pos="10064"/>
        </w:tabs>
        <w:spacing w:after="120"/>
        <w:ind w:left="284" w:hanging="284"/>
        <w:jc w:val="both"/>
      </w:pPr>
      <w:r w:rsidRPr="00C6078E">
        <w:t xml:space="preserve">1 - </w:t>
      </w:r>
      <w:r w:rsidR="00062827" w:rsidRPr="00C6078E">
        <w:t>O crédito rural deve ser liberado diretamente ao mutuário de uma só vez ou em parcelas, salvo em caso de regulamentação específica, em conta de depósito, de acordo com as necessidades do empreendimento, devendo as utilizações obedecer a cronograma de aquisições e serviços</w:t>
      </w:r>
      <w:r w:rsidR="00D035E2" w:rsidRPr="00C6078E">
        <w:t>.</w:t>
      </w:r>
      <w:r w:rsidR="0072039F" w:rsidRPr="00C6078E">
        <w:t xml:space="preserve"> (Res CMN</w:t>
      </w:r>
      <w:r w:rsidR="00215066" w:rsidRPr="00C6078E">
        <w:t xml:space="preserve"> </w:t>
      </w:r>
      <w:r w:rsidR="00062827" w:rsidRPr="00C6078E">
        <w:t>5.078</w:t>
      </w:r>
      <w:r w:rsidR="0072039F" w:rsidRPr="00C6078E">
        <w:t xml:space="preserve"> </w:t>
      </w:r>
      <w:proofErr w:type="spellStart"/>
      <w:r w:rsidR="0072039F" w:rsidRPr="00C6078E">
        <w:t>art</w:t>
      </w:r>
      <w:proofErr w:type="spellEnd"/>
      <w:r w:rsidR="0072039F" w:rsidRPr="00C6078E">
        <w:t xml:space="preserve"> </w:t>
      </w:r>
      <w:r w:rsidR="00062827" w:rsidRPr="00C6078E">
        <w:t>2</w:t>
      </w:r>
      <w:r w:rsidR="0072039F" w:rsidRPr="00C6078E">
        <w:t>º)</w:t>
      </w:r>
      <w:r w:rsidR="00062827" w:rsidRPr="00C6078E">
        <w:tab/>
        <w:t>(*)</w:t>
      </w:r>
    </w:p>
    <w:p w14:paraId="0610484F" w14:textId="5245F933" w:rsidR="00062827" w:rsidRPr="00C6078E" w:rsidRDefault="00062827" w:rsidP="00062827">
      <w:pPr>
        <w:tabs>
          <w:tab w:val="right" w:pos="9923"/>
          <w:tab w:val="right" w:pos="10064"/>
        </w:tabs>
        <w:ind w:left="284" w:hanging="284"/>
        <w:jc w:val="both"/>
      </w:pPr>
      <w:r w:rsidRPr="00C6078E">
        <w:t xml:space="preserve">1-A - O crédito rural de custeio com recursos controlados deve ser liberado diretamente ao mutuário em parcelas e em conta de depósito, de acordo com o cronograma de pagamento pela aquisição de produtos e serviços previstos no orçamento, admitida, a critério da instituição financeira, a liberação do crédito em parcela única quando se tratar de financiamento que tenha: (Res CMN 5.078 </w:t>
      </w:r>
      <w:proofErr w:type="spellStart"/>
      <w:r w:rsidRPr="00C6078E">
        <w:t>art</w:t>
      </w:r>
      <w:proofErr w:type="spellEnd"/>
      <w:r w:rsidRPr="00C6078E">
        <w:t xml:space="preserve"> 2º)</w:t>
      </w:r>
      <w:r w:rsidRPr="00C6078E">
        <w:tab/>
        <w:t>(*)</w:t>
      </w:r>
    </w:p>
    <w:p w14:paraId="39B2AD15" w14:textId="77777777" w:rsidR="00062827" w:rsidRPr="00C6078E" w:rsidRDefault="00062827" w:rsidP="00062827">
      <w:pPr>
        <w:tabs>
          <w:tab w:val="right" w:pos="9923"/>
        </w:tabs>
        <w:ind w:left="567" w:hanging="284"/>
        <w:jc w:val="both"/>
      </w:pPr>
      <w:r w:rsidRPr="00C6078E">
        <w:t>a) prazo de reembolso de até 180 (cento e oitenta) dias;</w:t>
      </w:r>
    </w:p>
    <w:p w14:paraId="46B03474" w14:textId="16A6C2D1" w:rsidR="00062827" w:rsidRPr="00062827" w:rsidRDefault="00062827" w:rsidP="00062827">
      <w:pPr>
        <w:tabs>
          <w:tab w:val="right" w:pos="9923"/>
        </w:tabs>
        <w:spacing w:after="120"/>
        <w:ind w:left="567" w:hanging="284"/>
        <w:jc w:val="both"/>
      </w:pPr>
      <w:r w:rsidRPr="00C6078E">
        <w:t>b) valores contratados de até R$20.000,00 (vinte mil reais).</w:t>
      </w:r>
    </w:p>
    <w:p w14:paraId="45D920D6" w14:textId="6E7483A9" w:rsidR="00D035E2" w:rsidRPr="00D25056" w:rsidRDefault="00D035E2" w:rsidP="00EC66B7">
      <w:pPr>
        <w:tabs>
          <w:tab w:val="right" w:pos="9923"/>
          <w:tab w:val="right" w:pos="10064"/>
        </w:tabs>
        <w:ind w:left="284" w:hanging="284"/>
        <w:jc w:val="both"/>
      </w:pPr>
      <w:r w:rsidRPr="00D25056">
        <w:t>2 - É lícita a liberação de parcelas do crédito para cobertura de gastos já realizados com recursos próprios do mutuário, sem que se configure recuperação de capital investido, quando preenchidas as seguintes condições cumulativas:</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35CD831E" w14:textId="77777777" w:rsidR="00D035E2" w:rsidRPr="00D25056" w:rsidRDefault="00D035E2" w:rsidP="00EC66B7">
      <w:pPr>
        <w:tabs>
          <w:tab w:val="right" w:pos="9923"/>
        </w:tabs>
        <w:ind w:left="567" w:hanging="284"/>
        <w:jc w:val="both"/>
      </w:pPr>
      <w:r w:rsidRPr="00D25056">
        <w:t>a) que os itens pertinentes constituam despesas que integrem o orçamento considerado para concessão do crédito;</w:t>
      </w:r>
    </w:p>
    <w:p w14:paraId="282BD36B" w14:textId="77777777" w:rsidR="00D035E2" w:rsidRPr="00D25056" w:rsidRDefault="00D035E2" w:rsidP="00EC66B7">
      <w:pPr>
        <w:tabs>
          <w:tab w:val="right" w:pos="9923"/>
        </w:tabs>
        <w:spacing w:after="120"/>
        <w:ind w:left="567" w:hanging="284"/>
        <w:jc w:val="both"/>
      </w:pPr>
      <w:r w:rsidRPr="00D25056">
        <w:t xml:space="preserve">b) que os gastos tenham sido realizados após a apresentação da proposta ou, inexistindo esta, após a formalização do crédito. </w:t>
      </w:r>
    </w:p>
    <w:p w14:paraId="345A6838" w14:textId="0481FBCE" w:rsidR="00D035E2" w:rsidRPr="00D25056" w:rsidRDefault="00D035E2" w:rsidP="00EC66B7">
      <w:pPr>
        <w:tabs>
          <w:tab w:val="right" w:pos="9923"/>
          <w:tab w:val="right" w:pos="10064"/>
        </w:tabs>
        <w:spacing w:after="120"/>
        <w:ind w:left="284" w:hanging="284"/>
        <w:jc w:val="both"/>
      </w:pPr>
      <w:r w:rsidRPr="00D25056">
        <w:t>3 - A instituição financeira não pode retardar as liberações por omissão de providência de sua alçada ou da assistência técnica.</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0B5CF69A" w14:textId="1ED3454B" w:rsidR="00D035E2" w:rsidRPr="00D25056" w:rsidRDefault="00D035E2" w:rsidP="00EC66B7">
      <w:pPr>
        <w:tabs>
          <w:tab w:val="right" w:pos="9923"/>
          <w:tab w:val="right" w:pos="10064"/>
        </w:tabs>
        <w:spacing w:after="120"/>
        <w:ind w:left="284" w:hanging="284"/>
        <w:jc w:val="both"/>
      </w:pPr>
      <w:r w:rsidRPr="00D25056">
        <w:t>4 - As utilizações podem ser antecipadas ou adiadas, quando houver justificada conveniência para o empreendimento assistido.</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086D25A6" w14:textId="384D11DD" w:rsidR="00D035E2" w:rsidRPr="00D25056" w:rsidRDefault="00D035E2" w:rsidP="00EC66B7">
      <w:pPr>
        <w:tabs>
          <w:tab w:val="right" w:pos="9923"/>
          <w:tab w:val="right" w:pos="10064"/>
        </w:tabs>
        <w:spacing w:after="120"/>
        <w:ind w:left="284" w:hanging="284"/>
        <w:jc w:val="both"/>
      </w:pPr>
      <w:r w:rsidRPr="00D25056">
        <w:t>5 - O crédito formalizado em instrumento de crédito de vários emitentes pode ser utilizado por qualquer deles individualmente, salvo se em cláusula especial se dispuser em contrário.</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p>
    <w:p w14:paraId="5E4A1184" w14:textId="5FD391F8" w:rsidR="00D035E2" w:rsidRPr="00D25056" w:rsidRDefault="00D035E2" w:rsidP="00EC66B7">
      <w:pPr>
        <w:tabs>
          <w:tab w:val="right" w:pos="9923"/>
          <w:tab w:val="right" w:pos="10064"/>
        </w:tabs>
        <w:spacing w:after="120"/>
        <w:ind w:left="284" w:hanging="284"/>
        <w:jc w:val="both"/>
      </w:pPr>
      <w:r w:rsidRPr="00D25056">
        <w:t>6 - Cumpre à instituição financeira abrir conta vinculada a cada crédito, exceto no desconto.</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5A8EE857" w14:textId="0CEB444F" w:rsidR="00D035E2" w:rsidRPr="00D25056" w:rsidRDefault="00D035E2" w:rsidP="00EC66B7">
      <w:pPr>
        <w:tabs>
          <w:tab w:val="right" w:pos="9923"/>
          <w:tab w:val="right" w:pos="10064"/>
        </w:tabs>
        <w:spacing w:after="120"/>
        <w:ind w:left="284" w:hanging="284"/>
        <w:jc w:val="both"/>
      </w:pPr>
      <w:r w:rsidRPr="00D25056">
        <w:t>7 - As parcelas de crédito sujeitas a encargos financeiros diferentes devem ser registradas em contas vinculadas distintas.</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37744752" w14:textId="6E8E004F" w:rsidR="00D035E2" w:rsidRPr="00D25056" w:rsidRDefault="00D035E2" w:rsidP="00EC66B7">
      <w:pPr>
        <w:tabs>
          <w:tab w:val="right" w:pos="9923"/>
          <w:tab w:val="right" w:pos="10064"/>
        </w:tabs>
        <w:spacing w:after="120"/>
        <w:ind w:left="284" w:hanging="284"/>
        <w:jc w:val="both"/>
      </w:pPr>
      <w:r w:rsidRPr="00D25056">
        <w:t>8 - As utilizações, despesas e reembolsos devem ser registrados na conta vinculada, mesmo no caso de transferência para conta de depósitos.</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02E0D5FB" w14:textId="03390610" w:rsidR="00D035E2" w:rsidRPr="00D25056" w:rsidRDefault="00D035E2" w:rsidP="00EC66B7">
      <w:pPr>
        <w:tabs>
          <w:tab w:val="right" w:pos="9923"/>
          <w:tab w:val="right" w:pos="10064"/>
        </w:tabs>
        <w:ind w:left="284" w:hanging="284"/>
        <w:jc w:val="both"/>
      </w:pPr>
      <w:r w:rsidRPr="00D25056">
        <w:t>9 - A liberação mediante transferência para conta de depósitos condiciona-se a que:</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067DB2B6" w14:textId="77777777" w:rsidR="00D035E2" w:rsidRPr="00D25056" w:rsidRDefault="00D035E2" w:rsidP="00EC66B7">
      <w:pPr>
        <w:tabs>
          <w:tab w:val="right" w:pos="9923"/>
        </w:tabs>
        <w:ind w:left="567" w:hanging="284"/>
        <w:jc w:val="both"/>
      </w:pPr>
      <w:r w:rsidRPr="00D25056">
        <w:t>a) esteja prevista no instrumento de crédito;</w:t>
      </w:r>
    </w:p>
    <w:p w14:paraId="1F3DB043" w14:textId="77777777" w:rsidR="00D035E2" w:rsidRPr="00D25056" w:rsidRDefault="00D035E2" w:rsidP="00EC66B7">
      <w:pPr>
        <w:tabs>
          <w:tab w:val="right" w:pos="9923"/>
        </w:tabs>
        <w:ind w:left="567" w:hanging="284"/>
        <w:jc w:val="both"/>
      </w:pPr>
      <w:r w:rsidRPr="00D25056">
        <w:t xml:space="preserve">b) ocorra à época ajustada para utilização de cada parcela; </w:t>
      </w:r>
    </w:p>
    <w:p w14:paraId="1C9FB108" w14:textId="77777777" w:rsidR="00D035E2" w:rsidRPr="00D25056" w:rsidRDefault="00D035E2" w:rsidP="00EC66B7">
      <w:pPr>
        <w:tabs>
          <w:tab w:val="right" w:pos="9923"/>
        </w:tabs>
        <w:ind w:left="567" w:hanging="284"/>
        <w:jc w:val="both"/>
      </w:pPr>
      <w:r w:rsidRPr="00D25056">
        <w:t xml:space="preserve">c) não gere disponibilidade ociosa na conta de depósitos; </w:t>
      </w:r>
    </w:p>
    <w:p w14:paraId="35573B10" w14:textId="77777777" w:rsidR="00D035E2" w:rsidRPr="00D25056" w:rsidRDefault="00D035E2" w:rsidP="00EC66B7">
      <w:pPr>
        <w:tabs>
          <w:tab w:val="right" w:pos="9923"/>
        </w:tabs>
        <w:spacing w:after="120"/>
        <w:ind w:left="568" w:hanging="284"/>
        <w:jc w:val="both"/>
      </w:pPr>
      <w:r w:rsidRPr="00D25056">
        <w:t xml:space="preserve">d) o mutuário tenha à sua disposição talonário ou meio eletrônico de transferência de fundos equivalente para livre movimentação da conta de depósitos. </w:t>
      </w:r>
    </w:p>
    <w:p w14:paraId="6E81AB04" w14:textId="7E20B636" w:rsidR="00D035E2" w:rsidRPr="00D25056" w:rsidRDefault="00D035E2" w:rsidP="00EC66B7">
      <w:pPr>
        <w:tabs>
          <w:tab w:val="right" w:pos="9923"/>
          <w:tab w:val="right" w:pos="10064"/>
        </w:tabs>
        <w:ind w:left="284" w:hanging="284"/>
        <w:jc w:val="both"/>
      </w:pPr>
      <w:r w:rsidRPr="00D25056">
        <w:t>10 - Comprova-se o uso adequado de recursos pela verificação de que o empreendimento foi correta e tempestivamente executado, devendo o produtor:</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7F8AA49C" w14:textId="77777777" w:rsidR="00D035E2" w:rsidRPr="00D25056" w:rsidRDefault="00D035E2" w:rsidP="00EC66B7">
      <w:pPr>
        <w:tabs>
          <w:tab w:val="right" w:pos="9923"/>
        </w:tabs>
        <w:ind w:left="567" w:hanging="284"/>
        <w:jc w:val="both"/>
      </w:pPr>
      <w:r w:rsidRPr="00D25056">
        <w:t xml:space="preserve">a) reter os comprovantes de aplicação na aquisição de insumos e no pagamento de mão de obra, para apresentá-los ao financiador, quando solicitados; </w:t>
      </w:r>
    </w:p>
    <w:p w14:paraId="04D9E957" w14:textId="77777777" w:rsidR="00D035E2" w:rsidRPr="00D25056" w:rsidRDefault="00D035E2" w:rsidP="00EC66B7">
      <w:pPr>
        <w:tabs>
          <w:tab w:val="right" w:pos="9923"/>
        </w:tabs>
        <w:spacing w:after="120"/>
        <w:ind w:left="568" w:hanging="284"/>
        <w:jc w:val="both"/>
      </w:pPr>
      <w:r w:rsidRPr="00D25056">
        <w:t xml:space="preserve">b) entregar ao financiador, no prazo de 30 (trinta) dias a contar da liberação, os documentos comprobatórios da aquisição de veículos, máquinas, equipamentos e animais. </w:t>
      </w:r>
    </w:p>
    <w:p w14:paraId="36D95B0A" w14:textId="0E9514E9" w:rsidR="00D035E2" w:rsidRPr="00D25056" w:rsidRDefault="00D035E2" w:rsidP="00EC66B7">
      <w:pPr>
        <w:tabs>
          <w:tab w:val="right" w:pos="9923"/>
          <w:tab w:val="right" w:pos="10064"/>
        </w:tabs>
        <w:spacing w:after="120"/>
        <w:ind w:left="284" w:hanging="284"/>
        <w:jc w:val="both"/>
      </w:pPr>
      <w:r w:rsidRPr="00D25056">
        <w:t>11 - Relativamente aos comprovantes referidos na alínea “a” do item 10, em operações contratadas no âmbito do Programa Nacional de Fortalecimento da Agricultura Familiar (Pronaf), está dispensada a sua apresentação quando se tratar de insumos de produção própria ou de mão de obra própria da unidade familiar, desde que prevista no projeto ou proposta de crédito do empreendimento financiado.</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p>
    <w:p w14:paraId="4B865D75" w14:textId="533C36B1" w:rsidR="00D035E2" w:rsidRPr="00D25056" w:rsidRDefault="00D035E2" w:rsidP="00EC66B7">
      <w:pPr>
        <w:tabs>
          <w:tab w:val="left" w:pos="4820"/>
        </w:tabs>
        <w:spacing w:after="120"/>
        <w:ind w:left="284" w:hanging="284"/>
        <w:jc w:val="both"/>
      </w:pPr>
      <w:r w:rsidRPr="00D25056">
        <w:t>12 - A aplicação irregular ou o desvio de parcelas do crédito sujeitam o mutuário à sua reposição, com as sanções pecuniárias pactuadas, contadas desde a data de sua liberação, sem prejuízo de demais sanções previstas neste Manual e na legislação aplicável.</w:t>
      </w:r>
      <w:r w:rsidR="0072039F" w:rsidRPr="00D25056">
        <w:t xml:space="preserve"> (Res CMN</w:t>
      </w:r>
      <w:r w:rsidR="00215066" w:rsidRPr="00D25056">
        <w:t xml:space="preserve"> </w:t>
      </w:r>
      <w:r w:rsidR="0072039F" w:rsidRPr="00D25056">
        <w:t xml:space="preserve">4.883 </w:t>
      </w:r>
      <w:proofErr w:type="spellStart"/>
      <w:r w:rsidR="0072039F" w:rsidRPr="00D25056">
        <w:t>art</w:t>
      </w:r>
      <w:proofErr w:type="spellEnd"/>
      <w:r w:rsidR="0072039F" w:rsidRPr="00D25056">
        <w:t xml:space="preserve"> 1º)</w:t>
      </w:r>
      <w:r w:rsidRPr="00D25056">
        <w:t xml:space="preserve"> </w:t>
      </w:r>
    </w:p>
    <w:p w14:paraId="1301316A" w14:textId="4971C1F3" w:rsidR="008051D6" w:rsidRPr="00D035E2" w:rsidRDefault="00D035E2" w:rsidP="00EC66B7">
      <w:pPr>
        <w:tabs>
          <w:tab w:val="right" w:pos="9923"/>
          <w:tab w:val="right" w:pos="10064"/>
        </w:tabs>
        <w:spacing w:after="120"/>
        <w:ind w:left="284" w:hanging="284"/>
        <w:jc w:val="both"/>
      </w:pPr>
      <w:r w:rsidRPr="00D25056">
        <w:t xml:space="preserve">13 - </w:t>
      </w:r>
      <w:r w:rsidR="00EC66B7" w:rsidRPr="00D25056">
        <w:t>Admite-se a liberação de parcelas referentes a fertilizantes, corretivos, defensivos agrícolas, mudas, sementes fiscalizadas ou certificadas, adquiridos até 180 (cento e oitenta) dias antes da formalização do crédito e destinados à lavoura financiada, desde que a aquisição dos produtos, comprovada por nota fiscal, seja compatível com o empreendimento financiado</w:t>
      </w:r>
      <w:r w:rsidRPr="00D25056">
        <w:t>.</w:t>
      </w:r>
      <w:r w:rsidR="0072039F" w:rsidRPr="00D25056">
        <w:t xml:space="preserve"> (Res CMN</w:t>
      </w:r>
      <w:r w:rsidR="00215066" w:rsidRPr="00D25056">
        <w:t xml:space="preserve"> </w:t>
      </w:r>
      <w:r w:rsidR="0072039F" w:rsidRPr="00D25056">
        <w:t xml:space="preserve">4.912 </w:t>
      </w:r>
      <w:proofErr w:type="spellStart"/>
      <w:r w:rsidR="0072039F" w:rsidRPr="00D25056">
        <w:t>art</w:t>
      </w:r>
      <w:proofErr w:type="spellEnd"/>
      <w:r w:rsidR="0072039F" w:rsidRPr="00D25056">
        <w:t xml:space="preserve"> 1º)</w:t>
      </w:r>
    </w:p>
    <w:sectPr w:rsidR="008051D6" w:rsidRPr="00D035E2" w:rsidSect="00A852A6">
      <w:headerReference w:type="even" r:id="rId7"/>
      <w:headerReference w:type="default" r:id="rId8"/>
      <w:footerReference w:type="default" r:id="rId9"/>
      <w:footerReference w:type="first" r:id="rId10"/>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85EE" w14:textId="77777777" w:rsidR="00D03128" w:rsidRDefault="00D03128">
      <w:r>
        <w:separator/>
      </w:r>
    </w:p>
  </w:endnote>
  <w:endnote w:type="continuationSeparator" w:id="0">
    <w:p w14:paraId="7DDD9C75" w14:textId="77777777" w:rsidR="00D03128" w:rsidRDefault="00D0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64F4" w14:textId="77777777" w:rsidR="00E903A6" w:rsidRDefault="00E903A6">
    <w:pPr>
      <w:pStyle w:val="Rodap"/>
      <w:pBdr>
        <w:top w:val="single" w:sz="4" w:space="1" w:color="auto"/>
      </w:pBdr>
    </w:pPr>
    <w:r>
      <w:t xml:space="preserve">Atualização MCR </w:t>
    </w:r>
    <w:r w:rsidR="00934948">
      <w:t>671</w:t>
    </w:r>
    <w:r>
      <w:t xml:space="preserve">, de </w:t>
    </w:r>
    <w:r w:rsidR="00934948">
      <w:t xml:space="preserve">20 de dezembro de </w:t>
    </w:r>
    <w:r>
      <w:t>20</w:t>
    </w:r>
    <w:r w:rsidR="00934948">
      <w:t>1</w:t>
    </w:r>
    <w:r w:rsidR="008051D6">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6488" w14:textId="32A7217E" w:rsidR="00A852A6" w:rsidRDefault="003E7796" w:rsidP="00A852A6">
    <w:pPr>
      <w:pStyle w:val="Rodap"/>
      <w:pBdr>
        <w:top w:val="single" w:sz="4" w:space="1" w:color="auto"/>
      </w:pBdr>
    </w:pPr>
    <w:r w:rsidRPr="00042BC1">
      <w:t xml:space="preserve">Atualização MCR nº </w:t>
    </w:r>
    <w:r w:rsidR="00062827" w:rsidRPr="00042BC1">
      <w:t>720</w:t>
    </w:r>
    <w:r w:rsidRPr="00042BC1">
      <w:t xml:space="preserve">, de </w:t>
    </w:r>
    <w:r w:rsidR="00042BC1" w:rsidRPr="00042BC1">
      <w:t>19</w:t>
    </w:r>
    <w:r w:rsidRPr="00042BC1">
      <w:t xml:space="preserve"> de julho de 20</w:t>
    </w:r>
    <w:r w:rsidR="00062827" w:rsidRPr="00042BC1">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581F" w14:textId="77777777" w:rsidR="00D03128" w:rsidRDefault="00D03128">
      <w:r>
        <w:separator/>
      </w:r>
    </w:p>
  </w:footnote>
  <w:footnote w:type="continuationSeparator" w:id="0">
    <w:p w14:paraId="47715696" w14:textId="77777777" w:rsidR="00D03128" w:rsidRDefault="00D0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C4C" w14:textId="77777777" w:rsidR="00E903A6" w:rsidRDefault="00E903A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247958A9" w14:textId="77777777" w:rsidR="00E903A6" w:rsidRDefault="00E903A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6FA" w14:textId="77777777" w:rsidR="00E903A6" w:rsidRDefault="00E903A6">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53626D">
      <w:rPr>
        <w:noProof/>
      </w:rPr>
      <w:t>2</w:t>
    </w:r>
    <w:r>
      <w:fldChar w:fldCharType="end"/>
    </w:r>
  </w:p>
  <w:p w14:paraId="593A1C02" w14:textId="77777777" w:rsidR="00E903A6" w:rsidRDefault="00E903A6">
    <w:pPr>
      <w:pStyle w:val="Cabealho"/>
      <w:tabs>
        <w:tab w:val="clear" w:pos="4419"/>
        <w:tab w:val="clear" w:pos="8838"/>
        <w:tab w:val="left" w:pos="993"/>
        <w:tab w:val="right" w:pos="9639"/>
      </w:tabs>
    </w:pPr>
    <w:r>
      <w:t>CAPÍTULO</w:t>
    </w:r>
    <w:r>
      <w:tab/>
      <w:t>: Condições Básicas - 2</w:t>
    </w:r>
  </w:p>
  <w:p w14:paraId="2551527F" w14:textId="77777777" w:rsidR="00E903A6" w:rsidRDefault="00E903A6">
    <w:pPr>
      <w:pStyle w:val="Cabealho"/>
      <w:tabs>
        <w:tab w:val="clear" w:pos="4419"/>
        <w:tab w:val="clear" w:pos="8838"/>
        <w:tab w:val="left" w:pos="993"/>
        <w:tab w:val="right" w:pos="9639"/>
        <w:tab w:val="right" w:pos="10064"/>
      </w:tabs>
    </w:pPr>
    <w:r>
      <w:t>SEÇÃO</w:t>
    </w:r>
    <w:r>
      <w:tab/>
      <w:t>: Utilização - 5</w:t>
    </w:r>
  </w:p>
  <w:p w14:paraId="3BD68D7B" w14:textId="77777777" w:rsidR="00E903A6" w:rsidRDefault="00E903A6">
    <w:pPr>
      <w:pStyle w:val="Cabealho"/>
      <w:tabs>
        <w:tab w:val="clear" w:pos="4419"/>
        <w:tab w:val="clear" w:pos="8838"/>
        <w:tab w:val="left" w:pos="993"/>
        <w:tab w:val="right" w:pos="9639"/>
      </w:tabs>
    </w:pPr>
    <w:r>
      <w:t>_____________________________________________________________________________________________</w:t>
    </w:r>
  </w:p>
  <w:p w14:paraId="30FE7C21" w14:textId="77777777" w:rsidR="00E903A6" w:rsidRDefault="00E903A6">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16cid:durableId="63152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doNotTrackMoves/>
  <w:defaultTabStop w:val="720"/>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51D6"/>
    <w:rsid w:val="00003083"/>
    <w:rsid w:val="00042BC1"/>
    <w:rsid w:val="00062827"/>
    <w:rsid w:val="00075402"/>
    <w:rsid w:val="001570AE"/>
    <w:rsid w:val="00185CC1"/>
    <w:rsid w:val="001D3141"/>
    <w:rsid w:val="00215066"/>
    <w:rsid w:val="002418FF"/>
    <w:rsid w:val="002A7DEF"/>
    <w:rsid w:val="002C4B92"/>
    <w:rsid w:val="003579C7"/>
    <w:rsid w:val="003D6BCF"/>
    <w:rsid w:val="003E5A9D"/>
    <w:rsid w:val="003E7796"/>
    <w:rsid w:val="004504AF"/>
    <w:rsid w:val="00483028"/>
    <w:rsid w:val="004C31B8"/>
    <w:rsid w:val="00523EC0"/>
    <w:rsid w:val="0053626D"/>
    <w:rsid w:val="00554F5A"/>
    <w:rsid w:val="005A196E"/>
    <w:rsid w:val="005B44DA"/>
    <w:rsid w:val="00701B58"/>
    <w:rsid w:val="0072039F"/>
    <w:rsid w:val="0072424D"/>
    <w:rsid w:val="00787E4D"/>
    <w:rsid w:val="008051D6"/>
    <w:rsid w:val="008E48E7"/>
    <w:rsid w:val="008F1E4D"/>
    <w:rsid w:val="0090104B"/>
    <w:rsid w:val="00934948"/>
    <w:rsid w:val="009432D9"/>
    <w:rsid w:val="00972443"/>
    <w:rsid w:val="009C7CFB"/>
    <w:rsid w:val="009F1E69"/>
    <w:rsid w:val="00A852A6"/>
    <w:rsid w:val="00AE1319"/>
    <w:rsid w:val="00B51A91"/>
    <w:rsid w:val="00B74E95"/>
    <w:rsid w:val="00B87F2F"/>
    <w:rsid w:val="00B9789F"/>
    <w:rsid w:val="00BA66E3"/>
    <w:rsid w:val="00C6078E"/>
    <w:rsid w:val="00D03128"/>
    <w:rsid w:val="00D035E2"/>
    <w:rsid w:val="00D25056"/>
    <w:rsid w:val="00D81EE9"/>
    <w:rsid w:val="00DB58AC"/>
    <w:rsid w:val="00DF75D3"/>
    <w:rsid w:val="00E53C20"/>
    <w:rsid w:val="00E55CFF"/>
    <w:rsid w:val="00E903A6"/>
    <w:rsid w:val="00E938CF"/>
    <w:rsid w:val="00EC66B7"/>
    <w:rsid w:val="00ED1C13"/>
    <w:rsid w:val="00EF1DE6"/>
    <w:rsid w:val="00F840D3"/>
    <w:rsid w:val="00FC53BC"/>
    <w:rsid w:val="00FD0B7B"/>
    <w:rsid w:val="00FF6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D8A841"/>
  <w15:chartTrackingRefBased/>
  <w15:docId w15:val="{CF65C3C9-5E34-4E96-B625-190159E3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styleId="Textodebalo">
    <w:name w:val="Balloon Text"/>
    <w:basedOn w:val="Normal"/>
    <w:link w:val="TextodebaloChar"/>
    <w:uiPriority w:val="99"/>
    <w:semiHidden/>
    <w:unhideWhenUsed/>
    <w:rsid w:val="008051D6"/>
    <w:rPr>
      <w:rFonts w:ascii="Tahoma" w:hAnsi="Tahoma" w:cs="Tahoma"/>
      <w:sz w:val="16"/>
      <w:szCs w:val="16"/>
    </w:rPr>
  </w:style>
  <w:style w:type="character" w:customStyle="1" w:styleId="TextodebaloChar">
    <w:name w:val="Texto de balão Char"/>
    <w:link w:val="Textodebalo"/>
    <w:uiPriority w:val="99"/>
    <w:semiHidden/>
    <w:rsid w:val="008051D6"/>
    <w:rPr>
      <w:rFonts w:ascii="Tahoma" w:hAnsi="Tahoma" w:cs="Tahoma"/>
      <w:sz w:val="16"/>
      <w:szCs w:val="16"/>
    </w:rPr>
  </w:style>
  <w:style w:type="paragraph" w:customStyle="1" w:styleId="Paragrafo">
    <w:name w:val="Paragrafo"/>
    <w:basedOn w:val="Normal"/>
    <w:link w:val="ParagrafoChar"/>
    <w:qFormat/>
    <w:rsid w:val="00D035E2"/>
    <w:pPr>
      <w:ind w:firstLine="1418"/>
    </w:pPr>
    <w:rPr>
      <w:rFonts w:eastAsia="Calibri"/>
      <w:sz w:val="24"/>
      <w:szCs w:val="24"/>
      <w:lang w:eastAsia="en-US"/>
    </w:rPr>
  </w:style>
  <w:style w:type="character" w:customStyle="1" w:styleId="ParagrafoChar">
    <w:name w:val="Paragrafo Char"/>
    <w:basedOn w:val="Fontepargpadro"/>
    <w:link w:val="Paragrafo"/>
    <w:rsid w:val="00D035E2"/>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5694">
      <w:bodyDiv w:val="1"/>
      <w:marLeft w:val="0"/>
      <w:marRight w:val="0"/>
      <w:marTop w:val="0"/>
      <w:marBottom w:val="0"/>
      <w:divBdr>
        <w:top w:val="none" w:sz="0" w:space="0" w:color="auto"/>
        <w:left w:val="none" w:sz="0" w:space="0" w:color="auto"/>
        <w:bottom w:val="none" w:sz="0" w:space="0" w:color="auto"/>
        <w:right w:val="none" w:sz="0" w:space="0" w:color="auto"/>
      </w:divBdr>
    </w:div>
    <w:div w:id="19204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68</TotalTime>
  <Pages>1</Pages>
  <Words>697</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Jordao Salino</cp:lastModifiedBy>
  <cp:revision>54</cp:revision>
  <cp:lastPrinted>2009-10-08T23:21:00Z</cp:lastPrinted>
  <dcterms:created xsi:type="dcterms:W3CDTF">2014-07-23T14:25:00Z</dcterms:created>
  <dcterms:modified xsi:type="dcterms:W3CDTF">2023-07-17T12:33:00Z</dcterms:modified>
</cp:coreProperties>
</file>